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0FE2A" w14:textId="77777777" w:rsidR="003E4C6B" w:rsidRDefault="004404EC" w:rsidP="003E4C6B">
      <w:pPr>
        <w:rPr>
          <w:rFonts w:ascii="黑体" w:eastAsia="黑体" w:hAnsi="黑体"/>
          <w:sz w:val="28"/>
          <w:szCs w:val="20"/>
        </w:rPr>
      </w:pPr>
      <w:r>
        <w:rPr>
          <w:rFonts w:ascii="黑体" w:eastAsia="黑体" w:hAnsi="黑体" w:hint="eastAsia"/>
          <w:sz w:val="28"/>
          <w:szCs w:val="20"/>
        </w:rPr>
        <w:t>附件</w:t>
      </w:r>
      <w:r w:rsidR="003E4C6B">
        <w:rPr>
          <w:rFonts w:ascii="黑体" w:eastAsia="黑体" w:hAnsi="黑体" w:hint="eastAsia"/>
          <w:sz w:val="28"/>
          <w:szCs w:val="20"/>
        </w:rPr>
        <w:t>1</w:t>
      </w:r>
    </w:p>
    <w:p w14:paraId="700377FB" w14:textId="77777777" w:rsidR="003E4C6B" w:rsidRDefault="003E4C6B" w:rsidP="003E4C6B">
      <w:pPr>
        <w:rPr>
          <w:rFonts w:ascii="黑体" w:eastAsia="黑体" w:hAnsi="黑体"/>
          <w:sz w:val="28"/>
          <w:szCs w:val="20"/>
        </w:rPr>
      </w:pPr>
    </w:p>
    <w:p w14:paraId="501ED982" w14:textId="77777777" w:rsidR="003E4C6B" w:rsidRDefault="001B2437" w:rsidP="001B2437">
      <w:pPr>
        <w:spacing w:after="240" w:line="560" w:lineRule="exact"/>
        <w:ind w:firstLineChars="62" w:firstLine="273"/>
        <w:jc w:val="center"/>
        <w:rPr>
          <w:rFonts w:ascii="方正小标宋简体" w:eastAsia="方正小标宋简体"/>
          <w:sz w:val="44"/>
          <w:szCs w:val="44"/>
        </w:rPr>
      </w:pPr>
      <w:r w:rsidRPr="001B2437">
        <w:rPr>
          <w:rFonts w:ascii="方正小标宋简体" w:eastAsia="方正小标宋简体" w:hint="eastAsia"/>
          <w:sz w:val="44"/>
          <w:szCs w:val="44"/>
        </w:rPr>
        <w:t>科技特派员制度在中医药领域应用的优势与策略探讨</w:t>
      </w:r>
      <w:r w:rsidR="003E4C6B" w:rsidRPr="00362386">
        <w:rPr>
          <w:rFonts w:ascii="方正小标宋简体" w:eastAsia="方正小标宋简体" w:hint="eastAsia"/>
          <w:sz w:val="44"/>
          <w:szCs w:val="44"/>
        </w:rPr>
        <w:t>项</w:t>
      </w:r>
      <w:r w:rsidR="003E4C6B">
        <w:rPr>
          <w:rFonts w:ascii="方正小标宋简体" w:eastAsia="方正小标宋简体" w:hint="eastAsia"/>
          <w:sz w:val="44"/>
          <w:szCs w:val="44"/>
        </w:rPr>
        <w:t>目</w:t>
      </w:r>
      <w:r>
        <w:rPr>
          <w:rFonts w:ascii="方正小标宋简体" w:eastAsia="方正小标宋简体" w:hint="eastAsia"/>
          <w:sz w:val="44"/>
          <w:szCs w:val="44"/>
        </w:rPr>
        <w:t>采购内容及要求</w:t>
      </w:r>
    </w:p>
    <w:p w14:paraId="4A8B3DD9" w14:textId="77777777" w:rsidR="003E4C6B" w:rsidRPr="00F532F4" w:rsidRDefault="003E4C6B" w:rsidP="003E4C6B">
      <w:pPr>
        <w:spacing w:line="520" w:lineRule="exact"/>
        <w:ind w:firstLineChars="71" w:firstLine="149"/>
        <w:rPr>
          <w:rFonts w:ascii="黑体" w:eastAsia="黑体" w:hAnsi="黑体" w:cs="仿宋"/>
          <w:szCs w:val="28"/>
        </w:rPr>
      </w:pPr>
      <w:r w:rsidRPr="00F532F4">
        <w:rPr>
          <w:rFonts w:ascii="黑体" w:eastAsia="黑体" w:hAnsi="黑体" w:cs="仿宋" w:hint="eastAsia"/>
          <w:szCs w:val="28"/>
        </w:rPr>
        <w:t>一、采购相关需求</w:t>
      </w:r>
    </w:p>
    <w:p w14:paraId="5AD07DB4" w14:textId="77777777" w:rsidR="003E4C6B" w:rsidRPr="00FF79A5" w:rsidRDefault="003E4C6B" w:rsidP="003E4C6B">
      <w:pPr>
        <w:spacing w:line="520" w:lineRule="exact"/>
        <w:ind w:firstLine="560"/>
        <w:rPr>
          <w:rFonts w:ascii="仿宋_GB2312" w:hAnsi="仿宋" w:cs="仿宋"/>
          <w:szCs w:val="28"/>
        </w:rPr>
      </w:pPr>
      <w:r>
        <w:rPr>
          <w:rFonts w:ascii="仿宋_GB2312" w:hAnsi="仿宋" w:cs="仿宋" w:hint="eastAsia"/>
          <w:szCs w:val="28"/>
        </w:rPr>
        <w:t>1.</w:t>
      </w:r>
      <w:r w:rsidRPr="00FF79A5">
        <w:rPr>
          <w:rFonts w:ascii="仿宋_GB2312" w:hAnsi="仿宋" w:cs="仿宋" w:hint="eastAsia"/>
          <w:szCs w:val="28"/>
        </w:rPr>
        <w:t>采购预算：不超过</w:t>
      </w:r>
      <w:r w:rsidRPr="00FF79A5">
        <w:rPr>
          <w:rFonts w:ascii="仿宋_GB2312" w:hAnsi="仿宋" w:cs="仿宋" w:hint="eastAsia"/>
          <w:szCs w:val="28"/>
        </w:rPr>
        <w:t>19</w:t>
      </w:r>
      <w:r w:rsidRPr="00FF79A5">
        <w:rPr>
          <w:rFonts w:ascii="仿宋_GB2312" w:hAnsi="仿宋" w:cs="仿宋" w:hint="eastAsia"/>
          <w:szCs w:val="28"/>
        </w:rPr>
        <w:t>万元。</w:t>
      </w:r>
    </w:p>
    <w:p w14:paraId="0B73545C" w14:textId="77777777" w:rsidR="003E4C6B" w:rsidRPr="00FF79A5" w:rsidRDefault="003E4C6B" w:rsidP="003E4C6B">
      <w:pPr>
        <w:spacing w:line="520" w:lineRule="exact"/>
        <w:ind w:firstLine="560"/>
        <w:rPr>
          <w:rFonts w:ascii="仿宋_GB2312" w:hAnsi="仿宋" w:cs="仿宋"/>
          <w:szCs w:val="28"/>
        </w:rPr>
      </w:pPr>
      <w:r>
        <w:rPr>
          <w:rFonts w:ascii="仿宋_GB2312" w:hAnsi="仿宋" w:cs="仿宋" w:hint="eastAsia"/>
          <w:szCs w:val="28"/>
        </w:rPr>
        <w:t>2.</w:t>
      </w:r>
      <w:r w:rsidRPr="00FF79A5">
        <w:rPr>
          <w:rFonts w:ascii="仿宋_GB2312" w:hAnsi="仿宋" w:cs="仿宋" w:hint="eastAsia"/>
          <w:szCs w:val="28"/>
        </w:rPr>
        <w:t>采购内容：科技特派员制度在中医药领域应用的优势与策略探讨</w:t>
      </w:r>
    </w:p>
    <w:p w14:paraId="62780B76" w14:textId="77777777" w:rsidR="003E4C6B" w:rsidRDefault="003E4C6B" w:rsidP="003E4C6B">
      <w:pPr>
        <w:spacing w:line="520" w:lineRule="exact"/>
        <w:ind w:firstLine="560"/>
        <w:rPr>
          <w:rFonts w:ascii="仿宋_GB2312" w:hAnsi="仿宋"/>
          <w:szCs w:val="28"/>
        </w:rPr>
      </w:pPr>
      <w:r>
        <w:rPr>
          <w:rFonts w:ascii="仿宋_GB2312" w:hAnsi="仿宋" w:hint="eastAsia"/>
          <w:szCs w:val="28"/>
        </w:rPr>
        <w:t>3.</w:t>
      </w:r>
      <w:r w:rsidRPr="00FF79A5">
        <w:rPr>
          <w:rFonts w:ascii="仿宋_GB2312" w:hAnsi="仿宋" w:hint="eastAsia"/>
          <w:szCs w:val="28"/>
        </w:rPr>
        <w:t>采购要求：</w:t>
      </w:r>
    </w:p>
    <w:p w14:paraId="325C96FE" w14:textId="77777777" w:rsidR="003E4C6B" w:rsidRDefault="003E4C6B" w:rsidP="003E4C6B">
      <w:pPr>
        <w:spacing w:line="520" w:lineRule="exact"/>
        <w:ind w:firstLine="560"/>
        <w:rPr>
          <w:rFonts w:ascii="仿宋_GB2312" w:hAnsi="仿宋"/>
          <w:szCs w:val="28"/>
        </w:rPr>
      </w:pPr>
      <w:r>
        <w:rPr>
          <w:rFonts w:ascii="仿宋_GB2312" w:hAnsi="仿宋" w:hint="eastAsia"/>
          <w:szCs w:val="28"/>
        </w:rPr>
        <w:t>（</w:t>
      </w:r>
      <w:r>
        <w:rPr>
          <w:rFonts w:ascii="仿宋_GB2312" w:hAnsi="仿宋" w:hint="eastAsia"/>
          <w:szCs w:val="28"/>
        </w:rPr>
        <w:t>1</w:t>
      </w:r>
      <w:r>
        <w:rPr>
          <w:rFonts w:ascii="仿宋_GB2312" w:hAnsi="仿宋" w:hint="eastAsia"/>
          <w:szCs w:val="28"/>
        </w:rPr>
        <w:t>）应标机构须</w:t>
      </w:r>
      <w:r w:rsidRPr="00FF79A5">
        <w:rPr>
          <w:rFonts w:ascii="仿宋_GB2312" w:hAnsi="仿宋" w:hint="eastAsia"/>
          <w:szCs w:val="28"/>
        </w:rPr>
        <w:t>完成科技特派员制度在中医药领域应用的优势与策略研究，形成《科技特派员制度在中医药领域应用的优势与策略探讨——以青岛市城阳区为例》调研分析报告。全面了解青岛市城阳区基层中医药服务现状，分析科技特派员制度在中医药领域的应用所需的政策支持、选派和培训体系、深化产学研合作机制、科技特派服务内容及方式以及评价体系和激励机制，为科技特派员制度在中医药领域应用提供参考建议。</w:t>
      </w:r>
    </w:p>
    <w:p w14:paraId="2519620C" w14:textId="77777777" w:rsidR="003E4C6B" w:rsidRPr="00FF79A5" w:rsidRDefault="003E4C6B" w:rsidP="003E4C6B">
      <w:pPr>
        <w:spacing w:line="520" w:lineRule="exact"/>
        <w:ind w:firstLine="560"/>
        <w:rPr>
          <w:rFonts w:ascii="仿宋_GB2312" w:hAnsi="仿宋"/>
          <w:szCs w:val="28"/>
        </w:rPr>
      </w:pPr>
      <w:r>
        <w:rPr>
          <w:rFonts w:ascii="仿宋_GB2312" w:hAnsi="仿宋" w:hint="eastAsia"/>
          <w:szCs w:val="28"/>
        </w:rPr>
        <w:t>（</w:t>
      </w:r>
      <w:r>
        <w:rPr>
          <w:rFonts w:ascii="仿宋_GB2312" w:hAnsi="仿宋" w:hint="eastAsia"/>
          <w:szCs w:val="28"/>
        </w:rPr>
        <w:t>2</w:t>
      </w:r>
      <w:r>
        <w:rPr>
          <w:rFonts w:ascii="仿宋_GB2312" w:hAnsi="仿宋" w:hint="eastAsia"/>
          <w:szCs w:val="28"/>
        </w:rPr>
        <w:t>）应标机构</w:t>
      </w:r>
      <w:r w:rsidRPr="007549DB">
        <w:rPr>
          <w:rFonts w:ascii="仿宋_GB2312" w:hAnsi="仿宋" w:hint="eastAsia"/>
          <w:szCs w:val="28"/>
        </w:rPr>
        <w:t>须无条件按照采购人要求修改完善</w:t>
      </w:r>
      <w:r w:rsidRPr="00FF79A5">
        <w:rPr>
          <w:rFonts w:ascii="仿宋_GB2312" w:hAnsi="仿宋" w:hint="eastAsia"/>
          <w:szCs w:val="28"/>
        </w:rPr>
        <w:t>《科技特派员制度在中医药领域应用的优势与策略探讨——以青岛市城阳区为例》</w:t>
      </w:r>
      <w:r w:rsidRPr="007549DB">
        <w:rPr>
          <w:rFonts w:ascii="仿宋_GB2312" w:hAnsi="仿宋" w:hint="eastAsia"/>
          <w:szCs w:val="28"/>
        </w:rPr>
        <w:t>报告。</w:t>
      </w:r>
    </w:p>
    <w:p w14:paraId="59D31CAE" w14:textId="77777777" w:rsidR="003E4C6B" w:rsidRPr="00FF79A5" w:rsidRDefault="003E4C6B" w:rsidP="003E4C6B">
      <w:pPr>
        <w:spacing w:line="520" w:lineRule="exact"/>
        <w:ind w:firstLine="560"/>
        <w:rPr>
          <w:rFonts w:ascii="仿宋_GB2312" w:hAnsi="仿宋"/>
          <w:szCs w:val="28"/>
        </w:rPr>
      </w:pPr>
      <w:r>
        <w:rPr>
          <w:rFonts w:ascii="仿宋_GB2312" w:hAnsi="仿宋" w:hint="eastAsia"/>
          <w:szCs w:val="28"/>
        </w:rPr>
        <w:t>4.</w:t>
      </w:r>
      <w:r w:rsidRPr="00FF79A5">
        <w:rPr>
          <w:rFonts w:ascii="仿宋_GB2312" w:hAnsi="仿宋" w:hint="eastAsia"/>
          <w:szCs w:val="28"/>
        </w:rPr>
        <w:t>预期成果：《科技特派员制度在中医药领域应用的优势与策略探讨——以青岛市城阳区为例》调研分析报告</w:t>
      </w:r>
      <w:r w:rsidRPr="00FF79A5">
        <w:rPr>
          <w:rFonts w:ascii="仿宋_GB2312" w:hAnsi="仿宋" w:hint="eastAsia"/>
          <w:szCs w:val="28"/>
        </w:rPr>
        <w:t>1</w:t>
      </w:r>
      <w:r w:rsidRPr="00FF79A5">
        <w:rPr>
          <w:rFonts w:ascii="仿宋_GB2312" w:hAnsi="仿宋" w:hint="eastAsia"/>
          <w:szCs w:val="28"/>
        </w:rPr>
        <w:t>份。</w:t>
      </w:r>
    </w:p>
    <w:p w14:paraId="13003381" w14:textId="77777777" w:rsidR="003E4C6B" w:rsidRDefault="003E4C6B" w:rsidP="003E4C6B">
      <w:pPr>
        <w:spacing w:line="520" w:lineRule="exact"/>
        <w:ind w:firstLine="560"/>
        <w:rPr>
          <w:rFonts w:ascii="仿宋" w:eastAsia="仿宋" w:hAnsi="仿宋"/>
          <w:szCs w:val="28"/>
        </w:rPr>
      </w:pPr>
    </w:p>
    <w:p w14:paraId="09C48BBF" w14:textId="77777777" w:rsidR="003E4C6B" w:rsidRPr="00F532F4" w:rsidRDefault="003E4C6B" w:rsidP="003E4C6B">
      <w:pPr>
        <w:spacing w:line="520" w:lineRule="exact"/>
        <w:ind w:firstLineChars="71" w:firstLine="149"/>
        <w:rPr>
          <w:rFonts w:ascii="黑体" w:eastAsia="黑体" w:hAnsi="黑体" w:cs="仿宋"/>
          <w:szCs w:val="28"/>
        </w:rPr>
      </w:pPr>
      <w:r w:rsidRPr="00F532F4">
        <w:rPr>
          <w:rFonts w:ascii="黑体" w:eastAsia="黑体" w:hAnsi="黑体" w:cs="仿宋" w:hint="eastAsia"/>
          <w:szCs w:val="28"/>
        </w:rPr>
        <w:t>二、</w:t>
      </w:r>
      <w:r>
        <w:rPr>
          <w:rFonts w:ascii="黑体" w:eastAsia="黑体" w:hAnsi="黑体" w:cs="仿宋" w:hint="eastAsia"/>
          <w:szCs w:val="28"/>
        </w:rPr>
        <w:t>采购</w:t>
      </w:r>
      <w:r w:rsidRPr="00F532F4">
        <w:rPr>
          <w:rFonts w:ascii="黑体" w:eastAsia="黑体" w:hAnsi="黑体" w:cs="仿宋" w:hint="eastAsia"/>
          <w:szCs w:val="28"/>
        </w:rPr>
        <w:t>综合评分要求</w:t>
      </w:r>
    </w:p>
    <w:p w14:paraId="5431D47C" w14:textId="77777777" w:rsidR="003E4C6B" w:rsidRPr="00FF79A5" w:rsidRDefault="003E4C6B" w:rsidP="003E4C6B">
      <w:pPr>
        <w:spacing w:line="520" w:lineRule="exact"/>
        <w:ind w:firstLine="560"/>
        <w:rPr>
          <w:rFonts w:ascii="仿宋_GB2312" w:hAnsi="仿宋"/>
          <w:szCs w:val="28"/>
        </w:rPr>
      </w:pPr>
      <w:r w:rsidRPr="00FF79A5">
        <w:rPr>
          <w:rFonts w:ascii="仿宋_GB2312" w:hAnsi="仿宋" w:hint="eastAsia"/>
          <w:szCs w:val="28"/>
        </w:rPr>
        <w:t>1.</w:t>
      </w:r>
      <w:r w:rsidRPr="00FF79A5">
        <w:rPr>
          <w:rFonts w:ascii="仿宋_GB2312" w:hAnsi="仿宋" w:hint="eastAsia"/>
          <w:szCs w:val="28"/>
        </w:rPr>
        <w:t>本次综合评分的因素详见综合评分明细表。</w:t>
      </w:r>
    </w:p>
    <w:p w14:paraId="16B1786F" w14:textId="77777777" w:rsidR="003E4C6B" w:rsidRPr="00FF79A5" w:rsidRDefault="003E4C6B" w:rsidP="003E4C6B">
      <w:pPr>
        <w:spacing w:line="520" w:lineRule="exact"/>
        <w:ind w:firstLine="560"/>
        <w:rPr>
          <w:rFonts w:ascii="仿宋_GB2312" w:hAnsi="仿宋"/>
          <w:szCs w:val="28"/>
        </w:rPr>
      </w:pPr>
      <w:r w:rsidRPr="00FF79A5">
        <w:rPr>
          <w:rFonts w:ascii="仿宋_GB2312" w:hAnsi="仿宋" w:hint="eastAsia"/>
          <w:szCs w:val="28"/>
        </w:rPr>
        <w:t>2.</w:t>
      </w:r>
      <w:r w:rsidRPr="00FF79A5">
        <w:rPr>
          <w:rFonts w:ascii="仿宋_GB2312" w:hAnsi="仿宋" w:hint="eastAsia"/>
          <w:szCs w:val="28"/>
        </w:rPr>
        <w:t>除价格因素外，综合评分小组成员应当根据自身专业情况独立对每个有效</w:t>
      </w:r>
      <w:r>
        <w:rPr>
          <w:rFonts w:ascii="仿宋_GB2312" w:hAnsi="仿宋" w:hint="eastAsia"/>
          <w:szCs w:val="28"/>
        </w:rPr>
        <w:t>应标机构</w:t>
      </w:r>
      <w:r w:rsidRPr="00FF79A5">
        <w:rPr>
          <w:rFonts w:ascii="仿宋_GB2312" w:hAnsi="仿宋" w:hint="eastAsia"/>
          <w:szCs w:val="28"/>
        </w:rPr>
        <w:t>的响应文件进行评价、打分。技术、与技术有关的服务及其他技术类评分因素由抽取的技术方面综合评分小组成员独立评分。财务状况及其他经济类评分因素、采购政策功能、采购合同主要条款及其他政策合同类的评分因素由抽取的经济方面或法律方面综合评分小组成员独立评分。采购人代表原则上对技术、与技术有关的服务及其他技术类评分因素独立评分。价格及其他不能明确区分的评分因素由综合评分</w:t>
      </w:r>
      <w:r w:rsidRPr="00FF79A5">
        <w:rPr>
          <w:rFonts w:ascii="仿宋_GB2312" w:hAnsi="仿宋" w:hint="eastAsia"/>
          <w:szCs w:val="28"/>
        </w:rPr>
        <w:lastRenderedPageBreak/>
        <w:t>小组成员共同评分。</w:t>
      </w:r>
    </w:p>
    <w:p w14:paraId="3165F691" w14:textId="77777777" w:rsidR="003E4C6B" w:rsidRPr="00FF79A5" w:rsidRDefault="003E4C6B" w:rsidP="003E4C6B">
      <w:pPr>
        <w:spacing w:line="520" w:lineRule="exact"/>
        <w:ind w:firstLine="560"/>
        <w:rPr>
          <w:rFonts w:ascii="仿宋_GB2312" w:hAnsi="仿宋"/>
          <w:szCs w:val="28"/>
        </w:rPr>
      </w:pPr>
      <w:r w:rsidRPr="00FF79A5">
        <w:rPr>
          <w:rFonts w:ascii="仿宋_GB2312" w:hAnsi="仿宋" w:hint="eastAsia"/>
          <w:szCs w:val="28"/>
        </w:rPr>
        <w:t>3.</w:t>
      </w:r>
      <w:r w:rsidRPr="00FF79A5">
        <w:rPr>
          <w:rFonts w:ascii="仿宋_GB2312" w:hAnsi="仿宋" w:hint="eastAsia"/>
          <w:szCs w:val="28"/>
        </w:rPr>
        <w:t>综合评分明细表</w:t>
      </w:r>
    </w:p>
    <w:p w14:paraId="2FB0F404" w14:textId="77777777" w:rsidR="003E4C6B" w:rsidRPr="00FF79A5" w:rsidRDefault="003E4C6B" w:rsidP="003E4C6B">
      <w:pPr>
        <w:spacing w:line="520" w:lineRule="exact"/>
        <w:ind w:firstLine="560"/>
        <w:rPr>
          <w:rFonts w:ascii="仿宋_GB2312" w:hAnsi="仿宋"/>
          <w:szCs w:val="28"/>
        </w:rPr>
      </w:pPr>
      <w:r w:rsidRPr="00FF79A5">
        <w:rPr>
          <w:rFonts w:ascii="仿宋_GB2312" w:hAnsi="仿宋" w:hint="eastAsia"/>
          <w:szCs w:val="28"/>
        </w:rPr>
        <w:t>3.1</w:t>
      </w:r>
      <w:r w:rsidRPr="00FF79A5">
        <w:rPr>
          <w:rFonts w:ascii="仿宋_GB2312" w:hAnsi="仿宋" w:hint="eastAsia"/>
          <w:szCs w:val="28"/>
        </w:rPr>
        <w:t>综合评分明细表的制定以科学合理、降低评委会自由裁量权为原则。</w:t>
      </w:r>
    </w:p>
    <w:p w14:paraId="328E010A" w14:textId="77777777" w:rsidR="003E4C6B" w:rsidRPr="00FF79A5" w:rsidRDefault="003E4C6B" w:rsidP="003E4C6B">
      <w:pPr>
        <w:spacing w:line="520" w:lineRule="exact"/>
        <w:ind w:firstLine="560"/>
        <w:rPr>
          <w:rFonts w:ascii="仿宋_GB2312" w:hAnsi="仿宋"/>
          <w:szCs w:val="28"/>
        </w:rPr>
      </w:pPr>
      <w:r w:rsidRPr="00FF79A5">
        <w:rPr>
          <w:rFonts w:ascii="仿宋_GB2312" w:hAnsi="仿宋" w:hint="eastAsia"/>
          <w:szCs w:val="28"/>
        </w:rPr>
        <w:t>3.2</w:t>
      </w:r>
      <w:r w:rsidRPr="00FF79A5">
        <w:rPr>
          <w:rFonts w:ascii="仿宋_GB2312" w:hAnsi="仿宋" w:hint="eastAsia"/>
          <w:szCs w:val="28"/>
        </w:rPr>
        <w:t>综合评分明细表</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
        <w:gridCol w:w="1295"/>
        <w:gridCol w:w="860"/>
        <w:gridCol w:w="6070"/>
        <w:gridCol w:w="1126"/>
      </w:tblGrid>
      <w:tr w:rsidR="003E4C6B" w14:paraId="218450C6" w14:textId="77777777" w:rsidTr="007D2466">
        <w:trPr>
          <w:trHeight w:val="90"/>
          <w:jc w:val="center"/>
        </w:trPr>
        <w:tc>
          <w:tcPr>
            <w:tcW w:w="609" w:type="dxa"/>
            <w:vAlign w:val="center"/>
          </w:tcPr>
          <w:p w14:paraId="0CCAB055" w14:textId="77777777" w:rsidR="003E4C6B" w:rsidRDefault="003E4C6B" w:rsidP="007D2466">
            <w:pPr>
              <w:spacing w:line="240" w:lineRule="auto"/>
              <w:jc w:val="center"/>
              <w:rPr>
                <w:rFonts w:ascii="宋体" w:hAnsi="宋体" w:cs="宋体"/>
                <w:sz w:val="22"/>
                <w:szCs w:val="22"/>
              </w:rPr>
            </w:pPr>
            <w:r>
              <w:rPr>
                <w:rFonts w:ascii="宋体" w:hAnsi="宋体" w:cs="宋体" w:hint="eastAsia"/>
                <w:b/>
                <w:bCs/>
                <w:sz w:val="22"/>
                <w:szCs w:val="22"/>
              </w:rPr>
              <w:t>序号</w:t>
            </w:r>
          </w:p>
        </w:tc>
        <w:tc>
          <w:tcPr>
            <w:tcW w:w="1295" w:type="dxa"/>
            <w:vAlign w:val="center"/>
          </w:tcPr>
          <w:p w14:paraId="56DB5C3C" w14:textId="77777777" w:rsidR="003E4C6B" w:rsidRDefault="003E4C6B" w:rsidP="007D2466">
            <w:pPr>
              <w:spacing w:line="240" w:lineRule="auto"/>
              <w:jc w:val="center"/>
              <w:rPr>
                <w:rFonts w:ascii="宋体" w:hAnsi="宋体" w:cs="宋体"/>
                <w:sz w:val="22"/>
                <w:szCs w:val="22"/>
              </w:rPr>
            </w:pPr>
            <w:r>
              <w:rPr>
                <w:rFonts w:ascii="宋体" w:hAnsi="宋体" w:cs="宋体" w:hint="eastAsia"/>
                <w:b/>
                <w:bCs/>
                <w:sz w:val="22"/>
                <w:szCs w:val="22"/>
              </w:rPr>
              <w:t>评分因素及权重</w:t>
            </w:r>
          </w:p>
        </w:tc>
        <w:tc>
          <w:tcPr>
            <w:tcW w:w="860" w:type="dxa"/>
            <w:vAlign w:val="center"/>
          </w:tcPr>
          <w:p w14:paraId="386E3BD8" w14:textId="77777777" w:rsidR="003E4C6B" w:rsidRDefault="003E4C6B" w:rsidP="007D2466">
            <w:pPr>
              <w:spacing w:line="240" w:lineRule="auto"/>
              <w:jc w:val="center"/>
              <w:rPr>
                <w:rFonts w:ascii="宋体" w:hAnsi="宋体" w:cs="宋体"/>
                <w:sz w:val="22"/>
                <w:szCs w:val="22"/>
              </w:rPr>
            </w:pPr>
            <w:r>
              <w:rPr>
                <w:rFonts w:ascii="宋体" w:hAnsi="宋体" w:cs="宋体" w:hint="eastAsia"/>
                <w:b/>
                <w:bCs/>
                <w:sz w:val="22"/>
                <w:szCs w:val="22"/>
              </w:rPr>
              <w:t>分值</w:t>
            </w:r>
          </w:p>
        </w:tc>
        <w:tc>
          <w:tcPr>
            <w:tcW w:w="6070" w:type="dxa"/>
            <w:vAlign w:val="center"/>
          </w:tcPr>
          <w:p w14:paraId="77FAA355" w14:textId="77777777" w:rsidR="003E4C6B" w:rsidRDefault="003E4C6B" w:rsidP="007D2466">
            <w:pPr>
              <w:spacing w:line="240" w:lineRule="auto"/>
              <w:jc w:val="center"/>
              <w:rPr>
                <w:rFonts w:ascii="宋体" w:hAnsi="宋体" w:cs="宋体"/>
                <w:snapToGrid w:val="0"/>
                <w:sz w:val="22"/>
                <w:szCs w:val="22"/>
              </w:rPr>
            </w:pPr>
            <w:r>
              <w:rPr>
                <w:rFonts w:ascii="宋体" w:hAnsi="宋体" w:cs="宋体" w:hint="eastAsia"/>
                <w:b/>
                <w:bCs/>
                <w:sz w:val="22"/>
                <w:szCs w:val="22"/>
              </w:rPr>
              <w:t>评分标准</w:t>
            </w:r>
          </w:p>
        </w:tc>
        <w:tc>
          <w:tcPr>
            <w:tcW w:w="1126" w:type="dxa"/>
            <w:vAlign w:val="center"/>
          </w:tcPr>
          <w:p w14:paraId="6558FA39" w14:textId="77777777" w:rsidR="003E4C6B" w:rsidRDefault="003E4C6B" w:rsidP="007D2466">
            <w:pPr>
              <w:spacing w:line="240" w:lineRule="auto"/>
              <w:jc w:val="center"/>
              <w:rPr>
                <w:rFonts w:ascii="宋体" w:hAnsi="宋体" w:cs="宋体"/>
                <w:sz w:val="22"/>
                <w:szCs w:val="22"/>
              </w:rPr>
            </w:pPr>
            <w:r>
              <w:rPr>
                <w:rFonts w:ascii="宋体" w:hAnsi="宋体" w:cs="宋体" w:hint="eastAsia"/>
                <w:b/>
                <w:bCs/>
                <w:sz w:val="22"/>
                <w:szCs w:val="22"/>
              </w:rPr>
              <w:t>说明</w:t>
            </w:r>
          </w:p>
        </w:tc>
      </w:tr>
      <w:tr w:rsidR="003E4C6B" w14:paraId="7CBB8C38" w14:textId="77777777" w:rsidTr="007D2466">
        <w:trPr>
          <w:trHeight w:val="1381"/>
          <w:jc w:val="center"/>
        </w:trPr>
        <w:tc>
          <w:tcPr>
            <w:tcW w:w="609" w:type="dxa"/>
            <w:vAlign w:val="center"/>
          </w:tcPr>
          <w:p w14:paraId="6C1B7D44" w14:textId="77777777" w:rsidR="003E4C6B" w:rsidRDefault="003E4C6B" w:rsidP="007D2466">
            <w:pPr>
              <w:tabs>
                <w:tab w:val="left" w:pos="0"/>
              </w:tabs>
              <w:topLinePunct/>
              <w:spacing w:line="240" w:lineRule="auto"/>
              <w:jc w:val="center"/>
              <w:rPr>
                <w:rFonts w:ascii="宋体" w:hAnsi="宋体" w:cs="宋体"/>
                <w:sz w:val="22"/>
                <w:szCs w:val="22"/>
              </w:rPr>
            </w:pPr>
            <w:r>
              <w:rPr>
                <w:rFonts w:ascii="宋体" w:hAnsi="宋体" w:cs="宋体" w:hint="eastAsia"/>
                <w:sz w:val="22"/>
                <w:szCs w:val="22"/>
              </w:rPr>
              <w:t>1</w:t>
            </w:r>
          </w:p>
        </w:tc>
        <w:tc>
          <w:tcPr>
            <w:tcW w:w="1295" w:type="dxa"/>
            <w:vAlign w:val="center"/>
          </w:tcPr>
          <w:p w14:paraId="75A18286" w14:textId="77777777" w:rsidR="003E4C6B" w:rsidRDefault="003E4C6B" w:rsidP="007D2466">
            <w:pPr>
              <w:spacing w:line="240" w:lineRule="auto"/>
              <w:jc w:val="center"/>
              <w:rPr>
                <w:rFonts w:ascii="宋体" w:hAnsi="宋体" w:cs="宋体"/>
                <w:sz w:val="22"/>
                <w:szCs w:val="22"/>
              </w:rPr>
            </w:pPr>
            <w:r>
              <w:rPr>
                <w:rFonts w:ascii="宋体" w:hAnsi="宋体" w:cs="宋体" w:hint="eastAsia"/>
                <w:sz w:val="22"/>
                <w:szCs w:val="22"/>
              </w:rPr>
              <w:t>报价10%</w:t>
            </w:r>
          </w:p>
        </w:tc>
        <w:tc>
          <w:tcPr>
            <w:tcW w:w="860" w:type="dxa"/>
            <w:vAlign w:val="center"/>
          </w:tcPr>
          <w:p w14:paraId="50195361" w14:textId="77777777" w:rsidR="003E4C6B" w:rsidRDefault="003E4C6B" w:rsidP="007D2466">
            <w:pPr>
              <w:spacing w:line="240" w:lineRule="auto"/>
              <w:jc w:val="center"/>
              <w:rPr>
                <w:rFonts w:ascii="宋体" w:hAnsi="宋体" w:cs="宋体"/>
                <w:sz w:val="22"/>
                <w:szCs w:val="22"/>
              </w:rPr>
            </w:pPr>
            <w:r>
              <w:rPr>
                <w:rFonts w:ascii="宋体" w:hAnsi="宋体" w:cs="宋体" w:hint="eastAsia"/>
                <w:sz w:val="22"/>
                <w:szCs w:val="22"/>
              </w:rPr>
              <w:t>10分</w:t>
            </w:r>
          </w:p>
        </w:tc>
        <w:tc>
          <w:tcPr>
            <w:tcW w:w="6070" w:type="dxa"/>
            <w:vAlign w:val="center"/>
          </w:tcPr>
          <w:p w14:paraId="76A07E16" w14:textId="77777777" w:rsidR="003E4C6B" w:rsidRDefault="003E4C6B" w:rsidP="007D2466">
            <w:pPr>
              <w:spacing w:line="240" w:lineRule="auto"/>
              <w:rPr>
                <w:rFonts w:ascii="宋体" w:hAnsi="宋体" w:cs="宋体"/>
                <w:snapToGrid w:val="0"/>
                <w:sz w:val="22"/>
                <w:szCs w:val="22"/>
              </w:rPr>
            </w:pPr>
            <w:r>
              <w:rPr>
                <w:rFonts w:ascii="宋体" w:hAnsi="宋体" w:cs="宋体" w:hint="eastAsia"/>
                <w:sz w:val="22"/>
                <w:szCs w:val="22"/>
              </w:rPr>
              <w:t>以本次有效的最低投标报价为基准价，报价得分=(基准价／投标报价)×10分。</w:t>
            </w:r>
          </w:p>
        </w:tc>
        <w:tc>
          <w:tcPr>
            <w:tcW w:w="1126" w:type="dxa"/>
            <w:vAlign w:val="center"/>
          </w:tcPr>
          <w:p w14:paraId="061207A2" w14:textId="77777777" w:rsidR="003E4C6B" w:rsidRDefault="003E4C6B" w:rsidP="007D2466">
            <w:pPr>
              <w:tabs>
                <w:tab w:val="left" w:pos="0"/>
              </w:tabs>
              <w:topLinePunct/>
              <w:spacing w:line="240" w:lineRule="auto"/>
              <w:jc w:val="center"/>
              <w:rPr>
                <w:rFonts w:ascii="宋体" w:hAnsi="宋体" w:cs="宋体"/>
                <w:sz w:val="22"/>
                <w:szCs w:val="22"/>
              </w:rPr>
            </w:pPr>
            <w:r>
              <w:rPr>
                <w:rFonts w:ascii="宋体" w:hAnsi="宋体" w:cs="宋体" w:hint="eastAsia"/>
                <w:sz w:val="22"/>
                <w:szCs w:val="22"/>
              </w:rPr>
              <w:t>共同类评分因素</w:t>
            </w:r>
          </w:p>
        </w:tc>
      </w:tr>
      <w:tr w:rsidR="003E4C6B" w14:paraId="637A42B3" w14:textId="77777777" w:rsidTr="007D2466">
        <w:trPr>
          <w:trHeight w:val="941"/>
          <w:jc w:val="center"/>
        </w:trPr>
        <w:tc>
          <w:tcPr>
            <w:tcW w:w="609" w:type="dxa"/>
            <w:vAlign w:val="center"/>
          </w:tcPr>
          <w:p w14:paraId="41FF2D4A" w14:textId="77777777" w:rsidR="003E4C6B" w:rsidRDefault="003E4C6B" w:rsidP="007D2466">
            <w:pPr>
              <w:tabs>
                <w:tab w:val="left" w:pos="0"/>
              </w:tabs>
              <w:topLinePunct/>
              <w:spacing w:line="240" w:lineRule="auto"/>
              <w:jc w:val="center"/>
              <w:rPr>
                <w:rFonts w:ascii="宋体" w:hAnsi="宋体" w:cs="宋体"/>
                <w:sz w:val="22"/>
                <w:szCs w:val="22"/>
              </w:rPr>
            </w:pPr>
            <w:r>
              <w:rPr>
                <w:rFonts w:ascii="宋体" w:hAnsi="宋体" w:cs="宋体" w:hint="eastAsia"/>
                <w:sz w:val="22"/>
                <w:szCs w:val="22"/>
              </w:rPr>
              <w:t>2</w:t>
            </w:r>
          </w:p>
        </w:tc>
        <w:tc>
          <w:tcPr>
            <w:tcW w:w="1295" w:type="dxa"/>
            <w:vAlign w:val="center"/>
          </w:tcPr>
          <w:p w14:paraId="75794DEA" w14:textId="77777777" w:rsidR="003E4C6B" w:rsidRDefault="003E4C6B" w:rsidP="007D2466">
            <w:pPr>
              <w:tabs>
                <w:tab w:val="left" w:pos="0"/>
              </w:tabs>
              <w:topLinePunct/>
              <w:spacing w:line="240" w:lineRule="auto"/>
              <w:jc w:val="center"/>
              <w:rPr>
                <w:rFonts w:ascii="宋体" w:hAnsi="宋体" w:cs="宋体"/>
                <w:sz w:val="22"/>
                <w:szCs w:val="22"/>
              </w:rPr>
            </w:pPr>
            <w:r>
              <w:rPr>
                <w:rFonts w:ascii="宋体" w:hAnsi="宋体" w:cs="宋体" w:hint="eastAsia"/>
                <w:sz w:val="22"/>
                <w:szCs w:val="22"/>
              </w:rPr>
              <w:t>项目分析</w:t>
            </w:r>
          </w:p>
          <w:p w14:paraId="49AF08A3" w14:textId="77777777" w:rsidR="003E4C6B" w:rsidRDefault="003E4C6B" w:rsidP="007D2466">
            <w:pPr>
              <w:tabs>
                <w:tab w:val="left" w:pos="0"/>
              </w:tabs>
              <w:topLinePunct/>
              <w:spacing w:line="240" w:lineRule="auto"/>
              <w:jc w:val="center"/>
              <w:rPr>
                <w:rFonts w:ascii="宋体" w:hAnsi="宋体" w:cs="宋体"/>
                <w:sz w:val="22"/>
                <w:szCs w:val="22"/>
              </w:rPr>
            </w:pPr>
            <w:r>
              <w:rPr>
                <w:rFonts w:ascii="宋体" w:hAnsi="宋体" w:cs="宋体" w:hint="eastAsia"/>
                <w:sz w:val="22"/>
                <w:szCs w:val="22"/>
              </w:rPr>
              <w:t>15%</w:t>
            </w:r>
          </w:p>
        </w:tc>
        <w:tc>
          <w:tcPr>
            <w:tcW w:w="860" w:type="dxa"/>
            <w:vAlign w:val="center"/>
          </w:tcPr>
          <w:p w14:paraId="5AEB2E27" w14:textId="77777777" w:rsidR="003E4C6B" w:rsidRDefault="003E4C6B" w:rsidP="007D2466">
            <w:pPr>
              <w:tabs>
                <w:tab w:val="left" w:pos="0"/>
              </w:tabs>
              <w:topLinePunct/>
              <w:spacing w:line="240" w:lineRule="auto"/>
              <w:jc w:val="center"/>
              <w:rPr>
                <w:rFonts w:ascii="宋体" w:hAnsi="宋体" w:cs="宋体"/>
                <w:sz w:val="22"/>
                <w:szCs w:val="22"/>
              </w:rPr>
            </w:pPr>
            <w:r>
              <w:rPr>
                <w:rFonts w:ascii="宋体" w:hAnsi="宋体" w:cs="宋体" w:hint="eastAsia"/>
                <w:sz w:val="22"/>
                <w:szCs w:val="22"/>
              </w:rPr>
              <w:t>15分</w:t>
            </w:r>
          </w:p>
        </w:tc>
        <w:tc>
          <w:tcPr>
            <w:tcW w:w="6070" w:type="dxa"/>
            <w:vAlign w:val="center"/>
          </w:tcPr>
          <w:p w14:paraId="0B567F50" w14:textId="77777777" w:rsidR="003E4C6B" w:rsidRDefault="003E4C6B" w:rsidP="007D2466">
            <w:pPr>
              <w:spacing w:line="240" w:lineRule="auto"/>
              <w:rPr>
                <w:rFonts w:ascii="宋体" w:hAnsi="宋体" w:cs="宋体"/>
                <w:snapToGrid w:val="0"/>
                <w:sz w:val="22"/>
                <w:szCs w:val="22"/>
              </w:rPr>
            </w:pPr>
            <w:r>
              <w:rPr>
                <w:rFonts w:ascii="宋体" w:hAnsi="宋体" w:cs="宋体" w:hint="eastAsia"/>
                <w:snapToGrid w:val="0"/>
                <w:sz w:val="22"/>
                <w:szCs w:val="22"/>
              </w:rPr>
              <w:t>根据应标机构提出的</w:t>
            </w:r>
            <w:r>
              <w:rPr>
                <w:rFonts w:ascii="宋体" w:hAnsi="宋体" w:cs="宋体" w:hint="eastAsia"/>
                <w:sz w:val="22"/>
                <w:szCs w:val="22"/>
              </w:rPr>
              <w:t>项目分析</w:t>
            </w:r>
            <w:r>
              <w:rPr>
                <w:rFonts w:ascii="宋体" w:hAnsi="宋体" w:cs="宋体" w:hint="eastAsia"/>
                <w:snapToGrid w:val="0"/>
                <w:sz w:val="22"/>
                <w:szCs w:val="22"/>
              </w:rPr>
              <w:t>进行综合评审，内容包括但不限于：①项目背景分析；②项目实际情况分析；③工作重难点分析及应对措施等。提供以上内容的得15分，每缺少一项内容扣5分，每一项内容中有一处缺陷扣2.5分，每一项内容的缺陷扣分最多扣5分，未提供方案不得分。</w:t>
            </w:r>
          </w:p>
          <w:p w14:paraId="105EDE2E" w14:textId="77777777" w:rsidR="003E4C6B" w:rsidRDefault="003E4C6B" w:rsidP="007D2466">
            <w:pPr>
              <w:spacing w:line="240" w:lineRule="auto"/>
              <w:rPr>
                <w:rFonts w:ascii="宋体" w:hAnsi="宋体" w:cs="宋体"/>
                <w:sz w:val="22"/>
                <w:szCs w:val="22"/>
              </w:rPr>
            </w:pPr>
            <w:r>
              <w:rPr>
                <w:rFonts w:ascii="宋体" w:hAnsi="宋体" w:cs="宋体" w:hint="eastAsia"/>
                <w:snapToGrid w:val="0"/>
                <w:sz w:val="22"/>
                <w:szCs w:val="22"/>
              </w:rPr>
              <w:t>注：以上方案中的缺陷是指前后内容不一致，存在凭空编造，前后逻辑错误或矛盾，涉及的规范及标准错误，项目名称或实施地点区域错误，内容简略或与本项目无关，套用其他方案，结合本项目采购需求描述论证阐述不清晰、不充分、不完整等任意一种情况。</w:t>
            </w:r>
          </w:p>
        </w:tc>
        <w:tc>
          <w:tcPr>
            <w:tcW w:w="1126" w:type="dxa"/>
            <w:vAlign w:val="center"/>
          </w:tcPr>
          <w:p w14:paraId="227E5471" w14:textId="77777777" w:rsidR="003E4C6B" w:rsidRDefault="003E4C6B" w:rsidP="007D2466">
            <w:pPr>
              <w:tabs>
                <w:tab w:val="left" w:pos="0"/>
              </w:tabs>
              <w:topLinePunct/>
              <w:spacing w:line="240" w:lineRule="auto"/>
              <w:jc w:val="center"/>
              <w:rPr>
                <w:rFonts w:ascii="宋体" w:hAnsi="宋体" w:cs="宋体"/>
                <w:sz w:val="22"/>
                <w:szCs w:val="22"/>
              </w:rPr>
            </w:pPr>
            <w:r>
              <w:rPr>
                <w:rFonts w:ascii="宋体" w:hAnsi="宋体" w:cs="宋体" w:hint="eastAsia"/>
                <w:sz w:val="22"/>
                <w:szCs w:val="22"/>
              </w:rPr>
              <w:t>技术类评分因素</w:t>
            </w:r>
          </w:p>
        </w:tc>
      </w:tr>
      <w:tr w:rsidR="003E4C6B" w14:paraId="714F1EF6" w14:textId="77777777" w:rsidTr="007D2466">
        <w:trPr>
          <w:trHeight w:val="1509"/>
          <w:jc w:val="center"/>
        </w:trPr>
        <w:tc>
          <w:tcPr>
            <w:tcW w:w="609" w:type="dxa"/>
            <w:vAlign w:val="center"/>
          </w:tcPr>
          <w:p w14:paraId="645DAA16" w14:textId="77777777" w:rsidR="003E4C6B" w:rsidRDefault="003E4C6B" w:rsidP="007D2466">
            <w:pPr>
              <w:tabs>
                <w:tab w:val="left" w:pos="0"/>
              </w:tabs>
              <w:topLinePunct/>
              <w:spacing w:line="240" w:lineRule="auto"/>
              <w:jc w:val="center"/>
              <w:rPr>
                <w:rFonts w:ascii="宋体" w:hAnsi="宋体" w:cs="宋体"/>
                <w:sz w:val="22"/>
                <w:szCs w:val="22"/>
              </w:rPr>
            </w:pPr>
            <w:r>
              <w:rPr>
                <w:rFonts w:ascii="宋体" w:hAnsi="宋体" w:cs="宋体" w:hint="eastAsia"/>
                <w:sz w:val="22"/>
                <w:szCs w:val="22"/>
              </w:rPr>
              <w:t>3</w:t>
            </w:r>
          </w:p>
        </w:tc>
        <w:tc>
          <w:tcPr>
            <w:tcW w:w="1295" w:type="dxa"/>
            <w:vAlign w:val="center"/>
          </w:tcPr>
          <w:p w14:paraId="7852FEC2" w14:textId="77777777" w:rsidR="003E4C6B" w:rsidRDefault="003E4C6B" w:rsidP="007D2466">
            <w:pPr>
              <w:tabs>
                <w:tab w:val="left" w:pos="0"/>
              </w:tabs>
              <w:topLinePunct/>
              <w:spacing w:line="240" w:lineRule="auto"/>
              <w:jc w:val="center"/>
              <w:rPr>
                <w:rFonts w:ascii="宋体" w:hAnsi="宋体" w:cs="宋体"/>
                <w:sz w:val="22"/>
                <w:szCs w:val="22"/>
              </w:rPr>
            </w:pPr>
            <w:r>
              <w:rPr>
                <w:rFonts w:ascii="宋体" w:hAnsi="宋体" w:cs="宋体" w:hint="eastAsia"/>
                <w:sz w:val="22"/>
                <w:szCs w:val="22"/>
              </w:rPr>
              <w:t>服务方案</w:t>
            </w:r>
          </w:p>
          <w:p w14:paraId="2304407B" w14:textId="77777777" w:rsidR="003E4C6B" w:rsidRDefault="003E4C6B" w:rsidP="007D2466">
            <w:pPr>
              <w:tabs>
                <w:tab w:val="left" w:pos="0"/>
              </w:tabs>
              <w:topLinePunct/>
              <w:spacing w:line="240" w:lineRule="auto"/>
              <w:jc w:val="center"/>
              <w:rPr>
                <w:rFonts w:ascii="宋体" w:hAnsi="宋体" w:cs="宋体"/>
                <w:sz w:val="22"/>
                <w:szCs w:val="22"/>
              </w:rPr>
            </w:pPr>
            <w:r>
              <w:rPr>
                <w:rFonts w:ascii="宋体" w:hAnsi="宋体" w:cs="宋体" w:hint="eastAsia"/>
                <w:sz w:val="22"/>
                <w:szCs w:val="22"/>
              </w:rPr>
              <w:t>45%</w:t>
            </w:r>
          </w:p>
        </w:tc>
        <w:tc>
          <w:tcPr>
            <w:tcW w:w="860" w:type="dxa"/>
            <w:vAlign w:val="center"/>
          </w:tcPr>
          <w:p w14:paraId="752A66A7" w14:textId="77777777" w:rsidR="003E4C6B" w:rsidRDefault="003E4C6B" w:rsidP="007D2466">
            <w:pPr>
              <w:tabs>
                <w:tab w:val="left" w:pos="0"/>
              </w:tabs>
              <w:topLinePunct/>
              <w:spacing w:line="240" w:lineRule="auto"/>
              <w:jc w:val="center"/>
              <w:rPr>
                <w:rFonts w:ascii="宋体" w:hAnsi="宋体" w:cs="宋体"/>
                <w:sz w:val="22"/>
                <w:szCs w:val="22"/>
              </w:rPr>
            </w:pPr>
            <w:r>
              <w:rPr>
                <w:rFonts w:ascii="宋体" w:hAnsi="宋体" w:cs="宋体" w:hint="eastAsia"/>
                <w:sz w:val="22"/>
                <w:szCs w:val="22"/>
              </w:rPr>
              <w:t>45分</w:t>
            </w:r>
          </w:p>
        </w:tc>
        <w:tc>
          <w:tcPr>
            <w:tcW w:w="6070" w:type="dxa"/>
            <w:vAlign w:val="center"/>
          </w:tcPr>
          <w:p w14:paraId="76B108CE" w14:textId="77777777" w:rsidR="003E4C6B" w:rsidRDefault="003E4C6B" w:rsidP="007D2466">
            <w:pPr>
              <w:spacing w:line="240" w:lineRule="auto"/>
              <w:rPr>
                <w:rFonts w:ascii="宋体" w:hAnsi="宋体" w:cs="宋体"/>
                <w:snapToGrid w:val="0"/>
                <w:sz w:val="22"/>
                <w:szCs w:val="22"/>
              </w:rPr>
            </w:pPr>
            <w:r>
              <w:rPr>
                <w:rFonts w:ascii="宋体" w:hAnsi="宋体" w:cs="宋体" w:hint="eastAsia"/>
                <w:snapToGrid w:val="0"/>
                <w:sz w:val="22"/>
                <w:szCs w:val="22"/>
              </w:rPr>
              <w:t>根据应标机构提出的服务方案进行综合评审，内容包括但不限于：①前期准备（至少包括成立项目组、明确分工与职责、前期文献研究）；②实地调研方案（至少包括调研形式、调研时间安排及内容、调研人员配置）；③研究方案（至少包括案例研究、报告撰写、报告修改与专家咨询）。提供以上内容的得45分，每缺少一项内容扣15分，每一项内容中有一处缺陷扣5分，每一项内容的缺陷扣分最多扣15分，未提供方案不得分。</w:t>
            </w:r>
          </w:p>
          <w:p w14:paraId="00ABB5A9" w14:textId="77777777" w:rsidR="003E4C6B" w:rsidRDefault="003E4C6B" w:rsidP="007D2466">
            <w:pPr>
              <w:spacing w:line="240" w:lineRule="auto"/>
              <w:rPr>
                <w:rFonts w:ascii="宋体" w:hAnsi="宋体" w:cs="宋体"/>
                <w:sz w:val="22"/>
                <w:szCs w:val="22"/>
              </w:rPr>
            </w:pPr>
            <w:r>
              <w:rPr>
                <w:rFonts w:ascii="宋体" w:hAnsi="宋体" w:cs="宋体" w:hint="eastAsia"/>
                <w:snapToGrid w:val="0"/>
                <w:sz w:val="22"/>
                <w:szCs w:val="22"/>
              </w:rPr>
              <w:t>注：以上方案中的缺陷是指前后内容不一致，存在凭空编造，前后逻辑错误或矛盾，涉及的规范及标准错误，项目名称或实施地点区域错误，内容简略或与本项目无关，套用其他方案，结合本项目采购需求描述论证阐述不清晰、不充分、不完整等任意一种情况。</w:t>
            </w:r>
          </w:p>
        </w:tc>
        <w:tc>
          <w:tcPr>
            <w:tcW w:w="1126" w:type="dxa"/>
            <w:vAlign w:val="center"/>
          </w:tcPr>
          <w:p w14:paraId="5664BA62" w14:textId="77777777" w:rsidR="003E4C6B" w:rsidRDefault="003E4C6B" w:rsidP="007D2466">
            <w:pPr>
              <w:tabs>
                <w:tab w:val="left" w:pos="0"/>
              </w:tabs>
              <w:topLinePunct/>
              <w:spacing w:line="240" w:lineRule="auto"/>
              <w:jc w:val="center"/>
              <w:rPr>
                <w:rFonts w:ascii="宋体" w:hAnsi="宋体" w:cs="宋体"/>
                <w:sz w:val="22"/>
                <w:szCs w:val="22"/>
              </w:rPr>
            </w:pPr>
            <w:r>
              <w:rPr>
                <w:rFonts w:ascii="宋体" w:hAnsi="宋体" w:cs="宋体" w:hint="eastAsia"/>
                <w:sz w:val="22"/>
                <w:szCs w:val="22"/>
              </w:rPr>
              <w:t>技术类评分因素</w:t>
            </w:r>
          </w:p>
        </w:tc>
      </w:tr>
      <w:tr w:rsidR="003E4C6B" w14:paraId="48796995" w14:textId="77777777" w:rsidTr="007D2466">
        <w:trPr>
          <w:trHeight w:val="505"/>
          <w:jc w:val="center"/>
        </w:trPr>
        <w:tc>
          <w:tcPr>
            <w:tcW w:w="609" w:type="dxa"/>
            <w:vAlign w:val="center"/>
          </w:tcPr>
          <w:p w14:paraId="0363B51D" w14:textId="77777777" w:rsidR="003E4C6B" w:rsidRDefault="003E4C6B" w:rsidP="007D2466">
            <w:pPr>
              <w:tabs>
                <w:tab w:val="left" w:pos="0"/>
              </w:tabs>
              <w:topLinePunct/>
              <w:spacing w:line="240" w:lineRule="auto"/>
              <w:jc w:val="center"/>
              <w:rPr>
                <w:rFonts w:ascii="宋体" w:hAnsi="宋体" w:cs="宋体"/>
                <w:sz w:val="22"/>
                <w:szCs w:val="22"/>
              </w:rPr>
            </w:pPr>
            <w:r>
              <w:rPr>
                <w:rFonts w:ascii="宋体" w:hAnsi="宋体" w:cs="宋体" w:hint="eastAsia"/>
                <w:sz w:val="22"/>
                <w:szCs w:val="22"/>
              </w:rPr>
              <w:t>4</w:t>
            </w:r>
          </w:p>
        </w:tc>
        <w:tc>
          <w:tcPr>
            <w:tcW w:w="1295" w:type="dxa"/>
            <w:vAlign w:val="center"/>
          </w:tcPr>
          <w:p w14:paraId="2327C2D3" w14:textId="77777777" w:rsidR="003E4C6B" w:rsidRDefault="003E4C6B" w:rsidP="007D2466">
            <w:pPr>
              <w:tabs>
                <w:tab w:val="left" w:pos="0"/>
              </w:tabs>
              <w:topLinePunct/>
              <w:spacing w:line="240" w:lineRule="auto"/>
              <w:jc w:val="center"/>
              <w:rPr>
                <w:rFonts w:ascii="宋体" w:hAnsi="宋体" w:cs="宋体"/>
                <w:sz w:val="22"/>
                <w:szCs w:val="22"/>
              </w:rPr>
            </w:pPr>
            <w:r>
              <w:rPr>
                <w:rFonts w:ascii="宋体" w:hAnsi="宋体" w:cs="宋体" w:hint="eastAsia"/>
                <w:sz w:val="22"/>
                <w:szCs w:val="22"/>
              </w:rPr>
              <w:t>服务保障方案20%</w:t>
            </w:r>
          </w:p>
        </w:tc>
        <w:tc>
          <w:tcPr>
            <w:tcW w:w="860" w:type="dxa"/>
            <w:vAlign w:val="center"/>
          </w:tcPr>
          <w:p w14:paraId="4769CF5A" w14:textId="77777777" w:rsidR="003E4C6B" w:rsidRDefault="003E4C6B" w:rsidP="007D2466">
            <w:pPr>
              <w:tabs>
                <w:tab w:val="left" w:pos="0"/>
              </w:tabs>
              <w:topLinePunct/>
              <w:spacing w:line="240" w:lineRule="auto"/>
              <w:jc w:val="center"/>
              <w:rPr>
                <w:rFonts w:ascii="宋体" w:hAnsi="宋体" w:cs="宋体"/>
                <w:sz w:val="22"/>
                <w:szCs w:val="22"/>
              </w:rPr>
            </w:pPr>
            <w:r>
              <w:rPr>
                <w:rFonts w:ascii="宋体" w:hAnsi="宋体" w:cs="宋体" w:hint="eastAsia"/>
                <w:sz w:val="22"/>
                <w:szCs w:val="22"/>
              </w:rPr>
              <w:t>20分</w:t>
            </w:r>
          </w:p>
        </w:tc>
        <w:tc>
          <w:tcPr>
            <w:tcW w:w="6070" w:type="dxa"/>
            <w:vAlign w:val="center"/>
          </w:tcPr>
          <w:p w14:paraId="41447A19" w14:textId="77777777" w:rsidR="003E4C6B" w:rsidRDefault="003E4C6B" w:rsidP="007D2466">
            <w:pPr>
              <w:spacing w:line="240" w:lineRule="auto"/>
              <w:rPr>
                <w:rFonts w:ascii="宋体" w:hAnsi="宋体" w:cs="宋体"/>
                <w:snapToGrid w:val="0"/>
                <w:sz w:val="22"/>
                <w:szCs w:val="22"/>
              </w:rPr>
            </w:pPr>
            <w:r>
              <w:rPr>
                <w:rFonts w:ascii="宋体" w:hAnsi="宋体" w:cs="宋体" w:hint="eastAsia"/>
                <w:snapToGrid w:val="0"/>
                <w:sz w:val="22"/>
                <w:szCs w:val="22"/>
              </w:rPr>
              <w:t>根据应标机构提出的服务保障方案进行综合评审，内容包括但不限于：①项目质量保障措施；②项目进度保障措施；③项目沟通机制；④项目人员管理方案等。提供以上内容的得20分，每缺少一项内容扣5分，每一项内容中有一处缺陷扣2.5分，每一项内容的缺陷扣分最多扣5分，未提供方案不得分。</w:t>
            </w:r>
          </w:p>
          <w:p w14:paraId="7B0CF914" w14:textId="77777777" w:rsidR="003E4C6B" w:rsidRDefault="003E4C6B" w:rsidP="007D2466">
            <w:pPr>
              <w:spacing w:line="240" w:lineRule="auto"/>
              <w:rPr>
                <w:rFonts w:ascii="宋体" w:hAnsi="宋体" w:cs="宋体"/>
                <w:sz w:val="22"/>
                <w:szCs w:val="22"/>
              </w:rPr>
            </w:pPr>
            <w:r>
              <w:rPr>
                <w:rFonts w:ascii="宋体" w:hAnsi="宋体" w:cs="宋体" w:hint="eastAsia"/>
                <w:snapToGrid w:val="0"/>
                <w:sz w:val="22"/>
                <w:szCs w:val="22"/>
              </w:rPr>
              <w:t>注：以上方案中的缺陷是指前后内容不一致，存在凭空编造，前后逻辑错误或矛盾，涉及的规范及标准错误，项目名称或实施地点区域错误，内容简略或与本项目无关，套用其他方案，结合本项目采购需求描述论证阐述不清晰、不充分、不完整等任意一种情况。</w:t>
            </w:r>
          </w:p>
        </w:tc>
        <w:tc>
          <w:tcPr>
            <w:tcW w:w="1126" w:type="dxa"/>
            <w:vAlign w:val="center"/>
          </w:tcPr>
          <w:p w14:paraId="3BBC78F7" w14:textId="77777777" w:rsidR="003E4C6B" w:rsidRDefault="003E4C6B" w:rsidP="007D2466">
            <w:pPr>
              <w:tabs>
                <w:tab w:val="left" w:pos="0"/>
              </w:tabs>
              <w:topLinePunct/>
              <w:spacing w:line="240" w:lineRule="auto"/>
              <w:jc w:val="center"/>
              <w:rPr>
                <w:rFonts w:ascii="宋体" w:hAnsi="宋体" w:cs="宋体"/>
                <w:sz w:val="22"/>
                <w:szCs w:val="22"/>
              </w:rPr>
            </w:pPr>
            <w:r>
              <w:rPr>
                <w:rFonts w:ascii="宋体" w:hAnsi="宋体" w:cs="宋体" w:hint="eastAsia"/>
                <w:sz w:val="22"/>
                <w:szCs w:val="22"/>
              </w:rPr>
              <w:t>技术类评分因素</w:t>
            </w:r>
          </w:p>
        </w:tc>
      </w:tr>
      <w:tr w:rsidR="003E4C6B" w14:paraId="0F03A40F" w14:textId="77777777" w:rsidTr="007D2466">
        <w:trPr>
          <w:trHeight w:val="1509"/>
          <w:jc w:val="center"/>
        </w:trPr>
        <w:tc>
          <w:tcPr>
            <w:tcW w:w="609" w:type="dxa"/>
            <w:vAlign w:val="center"/>
          </w:tcPr>
          <w:p w14:paraId="74D44866" w14:textId="77777777" w:rsidR="003E4C6B" w:rsidRDefault="003E4C6B" w:rsidP="007D2466">
            <w:pPr>
              <w:tabs>
                <w:tab w:val="left" w:pos="0"/>
              </w:tabs>
              <w:topLinePunct/>
              <w:spacing w:line="240" w:lineRule="auto"/>
              <w:jc w:val="center"/>
              <w:rPr>
                <w:rFonts w:ascii="宋体" w:hAnsi="宋体" w:cs="宋体"/>
                <w:sz w:val="22"/>
                <w:szCs w:val="22"/>
              </w:rPr>
            </w:pPr>
            <w:r>
              <w:rPr>
                <w:rFonts w:ascii="宋体" w:hAnsi="宋体" w:cs="宋体" w:hint="eastAsia"/>
                <w:sz w:val="22"/>
                <w:szCs w:val="22"/>
              </w:rPr>
              <w:lastRenderedPageBreak/>
              <w:t>5</w:t>
            </w:r>
          </w:p>
        </w:tc>
        <w:tc>
          <w:tcPr>
            <w:tcW w:w="1295" w:type="dxa"/>
            <w:vAlign w:val="center"/>
          </w:tcPr>
          <w:p w14:paraId="0EEA7801" w14:textId="77777777" w:rsidR="003E4C6B" w:rsidRPr="00A54A76" w:rsidRDefault="003E4C6B" w:rsidP="007D2466">
            <w:pPr>
              <w:tabs>
                <w:tab w:val="left" w:pos="0"/>
              </w:tabs>
              <w:topLinePunct/>
              <w:spacing w:line="240" w:lineRule="auto"/>
              <w:jc w:val="center"/>
              <w:rPr>
                <w:rFonts w:ascii="宋体" w:hAnsi="宋体" w:cs="宋体"/>
                <w:snapToGrid w:val="0"/>
                <w:sz w:val="22"/>
                <w:szCs w:val="22"/>
              </w:rPr>
            </w:pPr>
            <w:r w:rsidRPr="00A54A76">
              <w:rPr>
                <w:rFonts w:ascii="宋体" w:hAnsi="宋体" w:cs="宋体" w:hint="eastAsia"/>
                <w:snapToGrid w:val="0"/>
                <w:sz w:val="22"/>
                <w:szCs w:val="22"/>
              </w:rPr>
              <w:t>人员配置</w:t>
            </w:r>
          </w:p>
          <w:p w14:paraId="540A7715" w14:textId="77777777" w:rsidR="003E4C6B" w:rsidRDefault="003E4C6B" w:rsidP="007D2466">
            <w:pPr>
              <w:tabs>
                <w:tab w:val="left" w:pos="0"/>
              </w:tabs>
              <w:topLinePunct/>
              <w:spacing w:line="240" w:lineRule="auto"/>
              <w:jc w:val="center"/>
              <w:rPr>
                <w:rFonts w:ascii="宋体" w:hAnsi="宋体" w:cs="宋体"/>
                <w:snapToGrid w:val="0"/>
                <w:sz w:val="22"/>
                <w:szCs w:val="22"/>
              </w:rPr>
            </w:pPr>
            <w:r>
              <w:rPr>
                <w:rFonts w:ascii="宋体" w:hAnsi="宋体" w:cs="宋体" w:hint="eastAsia"/>
                <w:snapToGrid w:val="0"/>
                <w:sz w:val="22"/>
                <w:szCs w:val="22"/>
              </w:rPr>
              <w:t>6%</w:t>
            </w:r>
          </w:p>
        </w:tc>
        <w:tc>
          <w:tcPr>
            <w:tcW w:w="860" w:type="dxa"/>
            <w:vAlign w:val="center"/>
          </w:tcPr>
          <w:p w14:paraId="30874DBA" w14:textId="77777777" w:rsidR="003E4C6B" w:rsidRDefault="003E4C6B" w:rsidP="007D2466">
            <w:pPr>
              <w:tabs>
                <w:tab w:val="left" w:pos="0"/>
              </w:tabs>
              <w:topLinePunct/>
              <w:spacing w:line="240" w:lineRule="auto"/>
              <w:jc w:val="center"/>
              <w:rPr>
                <w:rFonts w:ascii="宋体" w:hAnsi="宋体" w:cs="宋体"/>
                <w:sz w:val="22"/>
                <w:szCs w:val="22"/>
              </w:rPr>
            </w:pPr>
            <w:r>
              <w:rPr>
                <w:rFonts w:ascii="宋体" w:hAnsi="宋体" w:cs="宋体" w:hint="eastAsia"/>
                <w:sz w:val="22"/>
                <w:szCs w:val="22"/>
              </w:rPr>
              <w:t>6分</w:t>
            </w:r>
          </w:p>
        </w:tc>
        <w:tc>
          <w:tcPr>
            <w:tcW w:w="6070" w:type="dxa"/>
            <w:vAlign w:val="center"/>
          </w:tcPr>
          <w:p w14:paraId="51BD9E07" w14:textId="77777777" w:rsidR="003E4C6B" w:rsidRDefault="003E4C6B" w:rsidP="007D2466">
            <w:pPr>
              <w:tabs>
                <w:tab w:val="left" w:pos="0"/>
              </w:tabs>
              <w:topLinePunct/>
              <w:spacing w:line="240" w:lineRule="auto"/>
              <w:jc w:val="left"/>
              <w:rPr>
                <w:rFonts w:ascii="宋体" w:hAnsi="宋体" w:cs="宋体"/>
                <w:sz w:val="22"/>
                <w:szCs w:val="22"/>
              </w:rPr>
            </w:pPr>
            <w:r>
              <w:rPr>
                <w:rFonts w:ascii="宋体" w:hAnsi="宋体" w:cs="宋体" w:hint="eastAsia"/>
                <w:sz w:val="22"/>
                <w:szCs w:val="22"/>
              </w:rPr>
              <w:t>应标机构为本项目配置的人员中具有相关专业中级职称证书的每提供一人得 2 分；具有相关专业高级职称证书的每提供一人得 3 分。本项最高得6分。（注：同</w:t>
            </w:r>
            <w:proofErr w:type="gramStart"/>
            <w:r>
              <w:rPr>
                <w:rFonts w:ascii="宋体" w:hAnsi="宋体" w:cs="宋体" w:hint="eastAsia"/>
                <w:sz w:val="22"/>
                <w:szCs w:val="22"/>
              </w:rPr>
              <w:t>一人员</w:t>
            </w:r>
            <w:proofErr w:type="gramEnd"/>
            <w:r>
              <w:rPr>
                <w:rFonts w:ascii="宋体" w:hAnsi="宋体" w:cs="宋体" w:hint="eastAsia"/>
                <w:sz w:val="22"/>
                <w:szCs w:val="22"/>
              </w:rPr>
              <w:t>多证不重复计分，职称证书以最高级别计分。 投标时提供相关证书复印件并加盖应标机构公章）</w:t>
            </w:r>
          </w:p>
        </w:tc>
        <w:tc>
          <w:tcPr>
            <w:tcW w:w="1126" w:type="dxa"/>
            <w:vAlign w:val="center"/>
          </w:tcPr>
          <w:p w14:paraId="72645AFE" w14:textId="77777777" w:rsidR="003E4C6B" w:rsidRDefault="003E4C6B" w:rsidP="007D2466">
            <w:pPr>
              <w:tabs>
                <w:tab w:val="left" w:pos="0"/>
              </w:tabs>
              <w:topLinePunct/>
              <w:spacing w:line="240" w:lineRule="auto"/>
              <w:jc w:val="center"/>
              <w:rPr>
                <w:rFonts w:ascii="宋体" w:hAnsi="宋体" w:cs="宋体"/>
                <w:sz w:val="22"/>
                <w:szCs w:val="22"/>
              </w:rPr>
            </w:pPr>
            <w:r>
              <w:rPr>
                <w:rFonts w:ascii="宋体" w:hAnsi="宋体" w:cs="宋体" w:hint="eastAsia"/>
                <w:sz w:val="22"/>
                <w:szCs w:val="22"/>
              </w:rPr>
              <w:t>共同类评分因素</w:t>
            </w:r>
          </w:p>
        </w:tc>
      </w:tr>
      <w:tr w:rsidR="003E4C6B" w14:paraId="1C451587" w14:textId="77777777" w:rsidTr="007D2466">
        <w:trPr>
          <w:trHeight w:val="1509"/>
          <w:jc w:val="center"/>
        </w:trPr>
        <w:tc>
          <w:tcPr>
            <w:tcW w:w="609" w:type="dxa"/>
            <w:vAlign w:val="center"/>
          </w:tcPr>
          <w:p w14:paraId="19B98893" w14:textId="77777777" w:rsidR="003E4C6B" w:rsidRDefault="003E4C6B" w:rsidP="007D2466">
            <w:pPr>
              <w:tabs>
                <w:tab w:val="left" w:pos="0"/>
              </w:tabs>
              <w:topLinePunct/>
              <w:spacing w:line="240" w:lineRule="auto"/>
              <w:jc w:val="center"/>
              <w:rPr>
                <w:rFonts w:ascii="宋体" w:hAnsi="宋体" w:cs="宋体"/>
                <w:sz w:val="22"/>
                <w:szCs w:val="22"/>
              </w:rPr>
            </w:pPr>
            <w:r>
              <w:rPr>
                <w:rFonts w:ascii="宋体" w:hAnsi="宋体" w:cs="宋体" w:hint="eastAsia"/>
                <w:sz w:val="22"/>
                <w:szCs w:val="22"/>
              </w:rPr>
              <w:t>6</w:t>
            </w:r>
          </w:p>
        </w:tc>
        <w:tc>
          <w:tcPr>
            <w:tcW w:w="1295" w:type="dxa"/>
            <w:vAlign w:val="center"/>
          </w:tcPr>
          <w:p w14:paraId="7DB940EC" w14:textId="77777777" w:rsidR="003E4C6B" w:rsidRDefault="003E4C6B" w:rsidP="007D2466">
            <w:pPr>
              <w:tabs>
                <w:tab w:val="left" w:pos="0"/>
              </w:tabs>
              <w:topLinePunct/>
              <w:spacing w:line="240" w:lineRule="auto"/>
              <w:jc w:val="center"/>
              <w:rPr>
                <w:rFonts w:ascii="宋体" w:hAnsi="宋体" w:cs="宋体"/>
                <w:sz w:val="22"/>
                <w:szCs w:val="22"/>
              </w:rPr>
            </w:pPr>
            <w:r>
              <w:rPr>
                <w:rFonts w:ascii="宋体" w:hAnsi="宋体" w:cs="宋体" w:hint="eastAsia"/>
                <w:sz w:val="22"/>
                <w:szCs w:val="22"/>
              </w:rPr>
              <w:t>履约能力</w:t>
            </w:r>
          </w:p>
          <w:p w14:paraId="46FC8F8D" w14:textId="77777777" w:rsidR="003E4C6B" w:rsidRDefault="003E4C6B" w:rsidP="007D2466">
            <w:pPr>
              <w:tabs>
                <w:tab w:val="left" w:pos="0"/>
              </w:tabs>
              <w:topLinePunct/>
              <w:spacing w:line="240" w:lineRule="auto"/>
              <w:jc w:val="center"/>
              <w:rPr>
                <w:rFonts w:ascii="宋体" w:hAnsi="宋体" w:cs="宋体"/>
                <w:snapToGrid w:val="0"/>
                <w:sz w:val="22"/>
                <w:szCs w:val="22"/>
              </w:rPr>
            </w:pPr>
            <w:r>
              <w:rPr>
                <w:rFonts w:ascii="宋体" w:hAnsi="宋体" w:cs="宋体" w:hint="eastAsia"/>
                <w:sz w:val="22"/>
                <w:szCs w:val="22"/>
              </w:rPr>
              <w:t>4%</w:t>
            </w:r>
          </w:p>
        </w:tc>
        <w:tc>
          <w:tcPr>
            <w:tcW w:w="860" w:type="dxa"/>
            <w:vAlign w:val="center"/>
          </w:tcPr>
          <w:p w14:paraId="621BEAC3" w14:textId="77777777" w:rsidR="003E4C6B" w:rsidRDefault="003E4C6B" w:rsidP="007D2466">
            <w:pPr>
              <w:tabs>
                <w:tab w:val="left" w:pos="0"/>
              </w:tabs>
              <w:topLinePunct/>
              <w:spacing w:line="240" w:lineRule="auto"/>
              <w:jc w:val="center"/>
              <w:rPr>
                <w:rFonts w:ascii="宋体" w:hAnsi="宋体" w:cs="宋体"/>
                <w:sz w:val="22"/>
                <w:szCs w:val="22"/>
              </w:rPr>
            </w:pPr>
            <w:r>
              <w:rPr>
                <w:rFonts w:ascii="宋体" w:hAnsi="宋体" w:cs="宋体" w:hint="eastAsia"/>
                <w:sz w:val="22"/>
                <w:szCs w:val="22"/>
              </w:rPr>
              <w:t>4分</w:t>
            </w:r>
          </w:p>
        </w:tc>
        <w:tc>
          <w:tcPr>
            <w:tcW w:w="6070" w:type="dxa"/>
            <w:vAlign w:val="center"/>
          </w:tcPr>
          <w:p w14:paraId="640A332C" w14:textId="77777777" w:rsidR="003E4C6B" w:rsidRDefault="003E4C6B" w:rsidP="007D2466">
            <w:pPr>
              <w:spacing w:line="240" w:lineRule="auto"/>
              <w:rPr>
                <w:rFonts w:ascii="宋体" w:hAnsi="宋体" w:cs="宋体"/>
                <w:sz w:val="22"/>
                <w:szCs w:val="22"/>
                <w:lang w:val="zh-CN"/>
              </w:rPr>
            </w:pPr>
            <w:r>
              <w:rPr>
                <w:rFonts w:ascii="宋体" w:hAnsi="宋体" w:cs="宋体" w:hint="eastAsia"/>
                <w:sz w:val="22"/>
                <w:szCs w:val="22"/>
              </w:rPr>
              <w:t>应标机构</w:t>
            </w:r>
            <w:r>
              <w:rPr>
                <w:rFonts w:ascii="宋体" w:hAnsi="宋体" w:cs="宋体" w:hint="eastAsia"/>
                <w:sz w:val="22"/>
                <w:szCs w:val="22"/>
                <w:lang w:val="zh-CN"/>
              </w:rPr>
              <w:t>自</w:t>
            </w:r>
            <w:r>
              <w:rPr>
                <w:rFonts w:ascii="宋体" w:hAnsi="宋体" w:cs="宋体" w:hint="eastAsia"/>
                <w:sz w:val="22"/>
                <w:szCs w:val="22"/>
              </w:rPr>
              <w:t>2020年1月1日（含1日）以来，</w:t>
            </w:r>
            <w:proofErr w:type="gramStart"/>
            <w:r>
              <w:rPr>
                <w:rFonts w:ascii="宋体" w:hAnsi="宋体" w:cs="宋体" w:hint="eastAsia"/>
                <w:sz w:val="22"/>
                <w:szCs w:val="22"/>
              </w:rPr>
              <w:t>每具有</w:t>
            </w:r>
            <w:proofErr w:type="gramEnd"/>
            <w:r>
              <w:rPr>
                <w:rFonts w:ascii="宋体" w:hAnsi="宋体" w:cs="宋体" w:hint="eastAsia"/>
                <w:sz w:val="22"/>
                <w:szCs w:val="22"/>
              </w:rPr>
              <w:t>一个类似项目业绩</w:t>
            </w:r>
            <w:r>
              <w:rPr>
                <w:rFonts w:ascii="宋体" w:hAnsi="宋体" w:cs="宋体" w:hint="eastAsia"/>
                <w:sz w:val="22"/>
                <w:szCs w:val="22"/>
                <w:lang w:val="zh-CN"/>
              </w:rPr>
              <w:t>的得</w:t>
            </w:r>
            <w:r>
              <w:rPr>
                <w:rFonts w:ascii="宋体" w:hAnsi="宋体" w:cs="宋体" w:hint="eastAsia"/>
                <w:sz w:val="22"/>
                <w:szCs w:val="22"/>
              </w:rPr>
              <w:t>2</w:t>
            </w:r>
            <w:r>
              <w:rPr>
                <w:rFonts w:ascii="宋体" w:hAnsi="宋体" w:cs="宋体" w:hint="eastAsia"/>
                <w:sz w:val="22"/>
                <w:szCs w:val="22"/>
                <w:lang w:val="zh-CN"/>
              </w:rPr>
              <w:t>分，</w:t>
            </w:r>
            <w:r>
              <w:rPr>
                <w:rFonts w:ascii="宋体" w:hAnsi="宋体" w:cs="宋体" w:hint="eastAsia"/>
                <w:sz w:val="22"/>
                <w:szCs w:val="22"/>
              </w:rPr>
              <w:t>本项</w:t>
            </w:r>
            <w:r>
              <w:rPr>
                <w:rFonts w:ascii="宋体" w:hAnsi="宋体" w:cs="宋体" w:hint="eastAsia"/>
                <w:sz w:val="22"/>
                <w:szCs w:val="22"/>
                <w:lang w:val="zh-CN"/>
              </w:rPr>
              <w:t>最多得</w:t>
            </w:r>
            <w:r>
              <w:rPr>
                <w:rFonts w:ascii="宋体" w:hAnsi="宋体" w:cs="宋体" w:hint="eastAsia"/>
                <w:sz w:val="22"/>
                <w:szCs w:val="22"/>
              </w:rPr>
              <w:t>4</w:t>
            </w:r>
            <w:r>
              <w:rPr>
                <w:rFonts w:ascii="宋体" w:hAnsi="宋体" w:cs="宋体" w:hint="eastAsia"/>
                <w:sz w:val="22"/>
                <w:szCs w:val="22"/>
                <w:lang w:val="zh-CN"/>
              </w:rPr>
              <w:t>分。</w:t>
            </w:r>
          </w:p>
          <w:p w14:paraId="765A143F" w14:textId="77777777" w:rsidR="003E4C6B" w:rsidRDefault="003E4C6B" w:rsidP="007D2466">
            <w:pPr>
              <w:spacing w:line="240" w:lineRule="auto"/>
              <w:rPr>
                <w:rFonts w:ascii="宋体" w:hAnsi="宋体" w:cs="宋体"/>
                <w:sz w:val="22"/>
                <w:szCs w:val="22"/>
              </w:rPr>
            </w:pPr>
            <w:r>
              <w:rPr>
                <w:rFonts w:ascii="宋体" w:hAnsi="宋体" w:cs="宋体" w:hint="eastAsia"/>
                <w:snapToGrid w:val="0"/>
                <w:sz w:val="22"/>
                <w:szCs w:val="22"/>
              </w:rPr>
              <w:t>注：投标时提供中标（成交）通知书复印件或合同复印件并加盖应标机构公章。</w:t>
            </w:r>
          </w:p>
        </w:tc>
        <w:tc>
          <w:tcPr>
            <w:tcW w:w="1126" w:type="dxa"/>
            <w:vAlign w:val="center"/>
          </w:tcPr>
          <w:p w14:paraId="78C798FD" w14:textId="77777777" w:rsidR="003E4C6B" w:rsidRDefault="003E4C6B" w:rsidP="007D2466">
            <w:pPr>
              <w:tabs>
                <w:tab w:val="left" w:pos="0"/>
              </w:tabs>
              <w:topLinePunct/>
              <w:spacing w:line="240" w:lineRule="auto"/>
              <w:jc w:val="center"/>
              <w:rPr>
                <w:rFonts w:ascii="宋体" w:hAnsi="宋体" w:cs="宋体"/>
                <w:sz w:val="22"/>
                <w:szCs w:val="22"/>
              </w:rPr>
            </w:pPr>
            <w:r>
              <w:rPr>
                <w:rFonts w:ascii="宋体" w:hAnsi="宋体" w:cs="宋体" w:hint="eastAsia"/>
                <w:sz w:val="22"/>
                <w:szCs w:val="22"/>
              </w:rPr>
              <w:t>共同类评分因素</w:t>
            </w:r>
          </w:p>
        </w:tc>
      </w:tr>
    </w:tbl>
    <w:p w14:paraId="38BC20E2" w14:textId="77777777" w:rsidR="003E4C6B" w:rsidRPr="003E4C6B" w:rsidRDefault="003E4C6B" w:rsidP="003E4C6B">
      <w:pPr>
        <w:rPr>
          <w:rFonts w:ascii="黑体" w:eastAsia="黑体" w:hAnsi="黑体" w:hint="eastAsia"/>
          <w:sz w:val="28"/>
          <w:szCs w:val="20"/>
        </w:rPr>
        <w:sectPr w:rsidR="003E4C6B" w:rsidRPr="003E4C6B">
          <w:footerReference w:type="default" r:id="rId8"/>
          <w:pgSz w:w="11911" w:h="16838"/>
          <w:pgMar w:top="1587" w:right="1247" w:bottom="1474" w:left="1474" w:header="0" w:footer="975" w:gutter="0"/>
          <w:pgNumType w:fmt="numberInDash"/>
          <w:cols w:space="0"/>
          <w:docGrid w:linePitch="312"/>
        </w:sectPr>
      </w:pPr>
    </w:p>
    <w:p w14:paraId="55416440" w14:textId="78BBB4B1" w:rsidR="00490263" w:rsidRDefault="00490263" w:rsidP="00BD4D5B">
      <w:pPr>
        <w:rPr>
          <w:rFonts w:hint="eastAsia"/>
        </w:rPr>
      </w:pPr>
    </w:p>
    <w:sectPr w:rsidR="00490263" w:rsidSect="00BD4D5B">
      <w:footerReference w:type="default" r:id="rId9"/>
      <w:pgSz w:w="11911" w:h="16838"/>
      <w:pgMar w:top="1587" w:right="1247" w:bottom="1474" w:left="1474" w:header="0" w:footer="975" w:gutter="0"/>
      <w:pgNumType w:start="0"/>
      <w:cols w:space="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C16CC" w14:textId="77777777" w:rsidR="00503956" w:rsidRDefault="00503956">
      <w:pPr>
        <w:spacing w:line="240" w:lineRule="auto"/>
      </w:pPr>
      <w:r>
        <w:separator/>
      </w:r>
    </w:p>
  </w:endnote>
  <w:endnote w:type="continuationSeparator" w:id="0">
    <w:p w14:paraId="5F5D893E" w14:textId="77777777" w:rsidR="00503956" w:rsidRDefault="005039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22581"/>
    </w:sdtPr>
    <w:sdtEndPr>
      <w:rPr>
        <w:sz w:val="24"/>
      </w:rPr>
    </w:sdtEndPr>
    <w:sdtContent>
      <w:p w14:paraId="5547E887" w14:textId="77777777" w:rsidR="00490263" w:rsidRDefault="00404ACC">
        <w:pPr>
          <w:pStyle w:val="aa"/>
          <w:jc w:val="center"/>
          <w:rPr>
            <w:sz w:val="24"/>
          </w:rPr>
        </w:pPr>
        <w:r>
          <w:rPr>
            <w:sz w:val="24"/>
          </w:rPr>
          <w:fldChar w:fldCharType="begin"/>
        </w:r>
        <w:r w:rsidR="00B54C6E">
          <w:rPr>
            <w:sz w:val="24"/>
          </w:rPr>
          <w:instrText>PAGE   \* MERGEFORMAT</w:instrText>
        </w:r>
        <w:r>
          <w:rPr>
            <w:sz w:val="24"/>
          </w:rPr>
          <w:fldChar w:fldCharType="separate"/>
        </w:r>
        <w:r w:rsidR="00120853" w:rsidRPr="00120853">
          <w:rPr>
            <w:noProof/>
            <w:sz w:val="24"/>
            <w:lang w:val="zh-CN"/>
          </w:rPr>
          <w:t>-</w:t>
        </w:r>
        <w:r w:rsidR="00120853">
          <w:rPr>
            <w:noProof/>
            <w:sz w:val="24"/>
          </w:rPr>
          <w:t xml:space="preserve"> 3 -</w:t>
        </w:r>
        <w:r>
          <w:rPr>
            <w:sz w:val="24"/>
          </w:rPr>
          <w:fldChar w:fldCharType="end"/>
        </w:r>
      </w:p>
    </w:sdtContent>
  </w:sdt>
  <w:p w14:paraId="42B07981" w14:textId="77777777" w:rsidR="00490263" w:rsidRDefault="004902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22582"/>
    </w:sdtPr>
    <w:sdtEndPr>
      <w:rPr>
        <w:sz w:val="21"/>
      </w:rPr>
    </w:sdtEndPr>
    <w:sdtContent>
      <w:p w14:paraId="2A90568E" w14:textId="77777777" w:rsidR="00490263" w:rsidRDefault="00404ACC">
        <w:pPr>
          <w:pStyle w:val="aa"/>
          <w:jc w:val="center"/>
          <w:rPr>
            <w:sz w:val="21"/>
          </w:rPr>
        </w:pPr>
        <w:r>
          <w:rPr>
            <w:sz w:val="21"/>
          </w:rPr>
          <w:fldChar w:fldCharType="begin"/>
        </w:r>
        <w:r w:rsidR="00B54C6E">
          <w:rPr>
            <w:sz w:val="21"/>
          </w:rPr>
          <w:instrText>PAGE   \* MERGEFORMAT</w:instrText>
        </w:r>
        <w:r>
          <w:rPr>
            <w:sz w:val="21"/>
          </w:rPr>
          <w:fldChar w:fldCharType="separate"/>
        </w:r>
        <w:r w:rsidR="00F8718D" w:rsidRPr="00F8718D">
          <w:rPr>
            <w:noProof/>
            <w:sz w:val="21"/>
            <w:lang w:val="zh-CN"/>
          </w:rPr>
          <w:t>-</w:t>
        </w:r>
        <w:r w:rsidR="00F8718D">
          <w:rPr>
            <w:noProof/>
            <w:sz w:val="21"/>
          </w:rPr>
          <w:t xml:space="preserve"> 5 -</w:t>
        </w:r>
        <w:r>
          <w:rPr>
            <w:sz w:val="21"/>
          </w:rPr>
          <w:fldChar w:fldCharType="end"/>
        </w:r>
      </w:p>
    </w:sdtContent>
  </w:sdt>
  <w:p w14:paraId="7E554978" w14:textId="77777777" w:rsidR="00490263" w:rsidRDefault="0049026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AC97A" w14:textId="77777777" w:rsidR="00503956" w:rsidRDefault="00503956">
      <w:r>
        <w:separator/>
      </w:r>
    </w:p>
  </w:footnote>
  <w:footnote w:type="continuationSeparator" w:id="0">
    <w:p w14:paraId="2D5281F5" w14:textId="77777777" w:rsidR="00503956" w:rsidRDefault="00503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210"/>
  <w:drawingGridVerticalSpacing w:val="-7946"/>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TllZjc5ODkzZDMxOWUxOTM0NjhlYzg2YjFmZTE3NGQifQ=="/>
  </w:docVars>
  <w:rsids>
    <w:rsidRoot w:val="60CE478B"/>
    <w:rsid w:val="000154E6"/>
    <w:rsid w:val="0002046D"/>
    <w:rsid w:val="00026981"/>
    <w:rsid w:val="00034462"/>
    <w:rsid w:val="00036EB0"/>
    <w:rsid w:val="000457BB"/>
    <w:rsid w:val="000770D6"/>
    <w:rsid w:val="00082327"/>
    <w:rsid w:val="0009065D"/>
    <w:rsid w:val="00093579"/>
    <w:rsid w:val="000A36A0"/>
    <w:rsid w:val="000B51D5"/>
    <w:rsid w:val="000F097C"/>
    <w:rsid w:val="000F7EF6"/>
    <w:rsid w:val="001055C4"/>
    <w:rsid w:val="00107E72"/>
    <w:rsid w:val="00113EF8"/>
    <w:rsid w:val="00120853"/>
    <w:rsid w:val="00130638"/>
    <w:rsid w:val="001404CF"/>
    <w:rsid w:val="001713A1"/>
    <w:rsid w:val="001B2437"/>
    <w:rsid w:val="001C6FC3"/>
    <w:rsid w:val="001D163D"/>
    <w:rsid w:val="001E6CFE"/>
    <w:rsid w:val="001F403E"/>
    <w:rsid w:val="00230E72"/>
    <w:rsid w:val="00283DCC"/>
    <w:rsid w:val="00293DC0"/>
    <w:rsid w:val="00297ADE"/>
    <w:rsid w:val="002D5890"/>
    <w:rsid w:val="002D78FA"/>
    <w:rsid w:val="002E30C4"/>
    <w:rsid w:val="002F0590"/>
    <w:rsid w:val="00321CE8"/>
    <w:rsid w:val="00331053"/>
    <w:rsid w:val="00367B34"/>
    <w:rsid w:val="003722A1"/>
    <w:rsid w:val="00391B6D"/>
    <w:rsid w:val="003B5C6F"/>
    <w:rsid w:val="003E3EB1"/>
    <w:rsid w:val="003E4C6B"/>
    <w:rsid w:val="003E5074"/>
    <w:rsid w:val="00401430"/>
    <w:rsid w:val="00404ACC"/>
    <w:rsid w:val="00412EE1"/>
    <w:rsid w:val="004218B9"/>
    <w:rsid w:val="0042572B"/>
    <w:rsid w:val="004307CD"/>
    <w:rsid w:val="004404EC"/>
    <w:rsid w:val="00461693"/>
    <w:rsid w:val="00490263"/>
    <w:rsid w:val="004B7561"/>
    <w:rsid w:val="004F2715"/>
    <w:rsid w:val="00502A16"/>
    <w:rsid w:val="00503956"/>
    <w:rsid w:val="00506B92"/>
    <w:rsid w:val="00534362"/>
    <w:rsid w:val="00552840"/>
    <w:rsid w:val="005557EB"/>
    <w:rsid w:val="005E1F78"/>
    <w:rsid w:val="005E7D20"/>
    <w:rsid w:val="005F655A"/>
    <w:rsid w:val="00630BD4"/>
    <w:rsid w:val="00653045"/>
    <w:rsid w:val="006669F2"/>
    <w:rsid w:val="0067476F"/>
    <w:rsid w:val="006802F6"/>
    <w:rsid w:val="00680A47"/>
    <w:rsid w:val="006A1E0B"/>
    <w:rsid w:val="006A61C2"/>
    <w:rsid w:val="006D199A"/>
    <w:rsid w:val="00702102"/>
    <w:rsid w:val="00713B0E"/>
    <w:rsid w:val="00742259"/>
    <w:rsid w:val="00745294"/>
    <w:rsid w:val="00746CBE"/>
    <w:rsid w:val="00772D71"/>
    <w:rsid w:val="00791B81"/>
    <w:rsid w:val="007A5E71"/>
    <w:rsid w:val="007A7D06"/>
    <w:rsid w:val="0084185D"/>
    <w:rsid w:val="008442F1"/>
    <w:rsid w:val="00844DBF"/>
    <w:rsid w:val="0084707D"/>
    <w:rsid w:val="00853A6C"/>
    <w:rsid w:val="0086072E"/>
    <w:rsid w:val="00864E2D"/>
    <w:rsid w:val="008748B2"/>
    <w:rsid w:val="008A3784"/>
    <w:rsid w:val="008B64DA"/>
    <w:rsid w:val="008C2291"/>
    <w:rsid w:val="008C6F17"/>
    <w:rsid w:val="008C73AC"/>
    <w:rsid w:val="008D4E85"/>
    <w:rsid w:val="008D7DF6"/>
    <w:rsid w:val="00903189"/>
    <w:rsid w:val="00905AB2"/>
    <w:rsid w:val="00911FB9"/>
    <w:rsid w:val="00936CA3"/>
    <w:rsid w:val="00944D5E"/>
    <w:rsid w:val="00971A4A"/>
    <w:rsid w:val="00993697"/>
    <w:rsid w:val="009937C5"/>
    <w:rsid w:val="009A1537"/>
    <w:rsid w:val="009B05F4"/>
    <w:rsid w:val="009C230C"/>
    <w:rsid w:val="00A1278F"/>
    <w:rsid w:val="00A41247"/>
    <w:rsid w:val="00A83263"/>
    <w:rsid w:val="00A92093"/>
    <w:rsid w:val="00A97A45"/>
    <w:rsid w:val="00AC5C51"/>
    <w:rsid w:val="00AF4353"/>
    <w:rsid w:val="00B2155B"/>
    <w:rsid w:val="00B3767B"/>
    <w:rsid w:val="00B4579B"/>
    <w:rsid w:val="00B54C6E"/>
    <w:rsid w:val="00B6540E"/>
    <w:rsid w:val="00B701A2"/>
    <w:rsid w:val="00B71CF2"/>
    <w:rsid w:val="00B825AA"/>
    <w:rsid w:val="00B85D58"/>
    <w:rsid w:val="00B86944"/>
    <w:rsid w:val="00B96B19"/>
    <w:rsid w:val="00BA42A6"/>
    <w:rsid w:val="00BD4D5B"/>
    <w:rsid w:val="00BF19DC"/>
    <w:rsid w:val="00C102C5"/>
    <w:rsid w:val="00C11576"/>
    <w:rsid w:val="00C22577"/>
    <w:rsid w:val="00C270B3"/>
    <w:rsid w:val="00C36BD6"/>
    <w:rsid w:val="00CC6D31"/>
    <w:rsid w:val="00CD2DF4"/>
    <w:rsid w:val="00CF2193"/>
    <w:rsid w:val="00CF3347"/>
    <w:rsid w:val="00D43EF1"/>
    <w:rsid w:val="00D45BDD"/>
    <w:rsid w:val="00D66FC8"/>
    <w:rsid w:val="00D91C77"/>
    <w:rsid w:val="00D95E26"/>
    <w:rsid w:val="00D966C6"/>
    <w:rsid w:val="00DC75C2"/>
    <w:rsid w:val="00DD10C8"/>
    <w:rsid w:val="00DD200C"/>
    <w:rsid w:val="00DF2DBC"/>
    <w:rsid w:val="00E02D48"/>
    <w:rsid w:val="00E033E7"/>
    <w:rsid w:val="00E102B7"/>
    <w:rsid w:val="00E13B05"/>
    <w:rsid w:val="00E2595C"/>
    <w:rsid w:val="00E90579"/>
    <w:rsid w:val="00EC5F67"/>
    <w:rsid w:val="00EE4A91"/>
    <w:rsid w:val="00EF0062"/>
    <w:rsid w:val="00F36559"/>
    <w:rsid w:val="00F47443"/>
    <w:rsid w:val="00F62F52"/>
    <w:rsid w:val="00F65E73"/>
    <w:rsid w:val="00F8718D"/>
    <w:rsid w:val="00F90F45"/>
    <w:rsid w:val="00FB5AFA"/>
    <w:rsid w:val="00FC4BA2"/>
    <w:rsid w:val="00FE5D36"/>
    <w:rsid w:val="02B0310F"/>
    <w:rsid w:val="05393890"/>
    <w:rsid w:val="06E42DAF"/>
    <w:rsid w:val="083E11BD"/>
    <w:rsid w:val="08FB6D07"/>
    <w:rsid w:val="092B3F6C"/>
    <w:rsid w:val="0C564D28"/>
    <w:rsid w:val="10156CA8"/>
    <w:rsid w:val="11D94BA5"/>
    <w:rsid w:val="15001CD4"/>
    <w:rsid w:val="160752E5"/>
    <w:rsid w:val="21F91F85"/>
    <w:rsid w:val="223C050E"/>
    <w:rsid w:val="24247062"/>
    <w:rsid w:val="2B287437"/>
    <w:rsid w:val="2DFF6B75"/>
    <w:rsid w:val="2E992E0D"/>
    <w:rsid w:val="2F3740ED"/>
    <w:rsid w:val="2FCF2577"/>
    <w:rsid w:val="39033292"/>
    <w:rsid w:val="3D9D3CB5"/>
    <w:rsid w:val="3DF633C5"/>
    <w:rsid w:val="443C1D72"/>
    <w:rsid w:val="450E7246"/>
    <w:rsid w:val="4B496C93"/>
    <w:rsid w:val="55117E64"/>
    <w:rsid w:val="593908DE"/>
    <w:rsid w:val="59EA607C"/>
    <w:rsid w:val="5B231846"/>
    <w:rsid w:val="5B2D4472"/>
    <w:rsid w:val="5BDE576D"/>
    <w:rsid w:val="5C6429DB"/>
    <w:rsid w:val="60CE478B"/>
    <w:rsid w:val="6692787F"/>
    <w:rsid w:val="6AF74155"/>
    <w:rsid w:val="6CD26C28"/>
    <w:rsid w:val="6F4E3F0C"/>
    <w:rsid w:val="713D663A"/>
    <w:rsid w:val="72A03324"/>
    <w:rsid w:val="74411F41"/>
    <w:rsid w:val="777E3995"/>
    <w:rsid w:val="7B584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632CDA4"/>
  <w15:docId w15:val="{59632E46-2C90-4B9D-929C-2462E968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uiPriority="99" w:qFormat="1"/>
    <w:lsdException w:name="footer" w:uiPriority="99"/>
    <w:lsdException w:name="caption" w:semiHidden="1" w:unhideWhenUsed="1" w:qFormat="1"/>
    <w:lsdException w:name="envelope return" w:semiHidden="1" w:qFormat="1"/>
    <w:lsdException w:name="Title" w:qFormat="1"/>
    <w:lsdException w:name="Default Paragraph Font" w:semiHidden="1" w:uiPriority="1" w:unhideWhenUsed="1"/>
    <w:lsdException w:name="Body Text" w:uiPriority="1" w:qFormat="1"/>
    <w:lsdException w:name="Body Text Indent" w:semiHidden="1" w:qFormat="1"/>
    <w:lsdException w:name="Subtitle" w:qFormat="1"/>
    <w:lsdException w:name="Body Text First Indent 2" w:semiHidden="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0263"/>
    <w:pPr>
      <w:widowControl w:val="0"/>
      <w:spacing w:line="360" w:lineRule="auto"/>
      <w:jc w:val="both"/>
    </w:pPr>
    <w:rPr>
      <w:kern w:val="2"/>
      <w:sz w:val="21"/>
      <w:szCs w:val="24"/>
    </w:rPr>
  </w:style>
  <w:style w:type="paragraph" w:styleId="1">
    <w:name w:val="heading 1"/>
    <w:basedOn w:val="a"/>
    <w:link w:val="10"/>
    <w:uiPriority w:val="1"/>
    <w:qFormat/>
    <w:rsid w:val="00490263"/>
    <w:pPr>
      <w:ind w:left="2767"/>
      <w:jc w:val="left"/>
      <w:outlineLvl w:val="0"/>
    </w:pPr>
    <w:rPr>
      <w:rFonts w:ascii="宋体" w:hAnsi="宋体" w:cstheme="minorBidi"/>
      <w:b/>
      <w:bCs/>
      <w:kern w:val="0"/>
      <w:sz w:val="30"/>
      <w:szCs w:val="30"/>
      <w:lang w:eastAsia="en-US"/>
    </w:rPr>
  </w:style>
  <w:style w:type="paragraph" w:styleId="2">
    <w:name w:val="heading 2"/>
    <w:basedOn w:val="a"/>
    <w:link w:val="20"/>
    <w:uiPriority w:val="1"/>
    <w:qFormat/>
    <w:rsid w:val="00490263"/>
    <w:pPr>
      <w:spacing w:before="2"/>
      <w:ind w:left="600"/>
      <w:jc w:val="left"/>
      <w:outlineLvl w:val="1"/>
    </w:pPr>
    <w:rPr>
      <w:rFonts w:ascii="宋体" w:hAnsi="宋体" w:cstheme="minorBidi"/>
      <w:b/>
      <w:bCs/>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490263"/>
    <w:pPr>
      <w:jc w:val="left"/>
    </w:pPr>
  </w:style>
  <w:style w:type="paragraph" w:styleId="a4">
    <w:name w:val="Body Text"/>
    <w:basedOn w:val="a"/>
    <w:link w:val="a5"/>
    <w:uiPriority w:val="1"/>
    <w:qFormat/>
    <w:rsid w:val="00490263"/>
    <w:pPr>
      <w:spacing w:after="120"/>
    </w:pPr>
  </w:style>
  <w:style w:type="paragraph" w:styleId="a6">
    <w:name w:val="Body Text Indent"/>
    <w:basedOn w:val="a"/>
    <w:next w:val="a7"/>
    <w:semiHidden/>
    <w:qFormat/>
    <w:rsid w:val="00490263"/>
    <w:pPr>
      <w:ind w:firstLine="645"/>
    </w:pPr>
    <w:rPr>
      <w:rFonts w:ascii="Arial" w:eastAsia="仿宋_GB2312" w:hAnsi="Arial"/>
      <w:sz w:val="28"/>
      <w:szCs w:val="20"/>
    </w:rPr>
  </w:style>
  <w:style w:type="paragraph" w:styleId="a7">
    <w:name w:val="envelope return"/>
    <w:basedOn w:val="a"/>
    <w:autoRedefine/>
    <w:semiHidden/>
    <w:qFormat/>
    <w:rsid w:val="00490263"/>
    <w:pPr>
      <w:snapToGrid w:val="0"/>
    </w:pPr>
    <w:rPr>
      <w:rFonts w:ascii="Arial" w:hAnsi="Arial" w:cs="Arial"/>
    </w:rPr>
  </w:style>
  <w:style w:type="paragraph" w:styleId="a8">
    <w:name w:val="Balloon Text"/>
    <w:basedOn w:val="a"/>
    <w:link w:val="a9"/>
    <w:autoRedefine/>
    <w:rsid w:val="00490263"/>
    <w:rPr>
      <w:sz w:val="18"/>
      <w:szCs w:val="18"/>
    </w:rPr>
  </w:style>
  <w:style w:type="paragraph" w:styleId="aa">
    <w:name w:val="footer"/>
    <w:basedOn w:val="a"/>
    <w:link w:val="ab"/>
    <w:autoRedefine/>
    <w:uiPriority w:val="99"/>
    <w:rsid w:val="00490263"/>
    <w:pPr>
      <w:tabs>
        <w:tab w:val="center" w:pos="4153"/>
        <w:tab w:val="right" w:pos="8306"/>
      </w:tabs>
      <w:snapToGrid w:val="0"/>
      <w:jc w:val="left"/>
    </w:pPr>
    <w:rPr>
      <w:sz w:val="18"/>
      <w:szCs w:val="18"/>
    </w:rPr>
  </w:style>
  <w:style w:type="paragraph" w:styleId="ac">
    <w:name w:val="header"/>
    <w:basedOn w:val="a"/>
    <w:link w:val="ad"/>
    <w:uiPriority w:val="99"/>
    <w:qFormat/>
    <w:rsid w:val="0049026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rsid w:val="00490263"/>
  </w:style>
  <w:style w:type="paragraph" w:styleId="TOC2">
    <w:name w:val="toc 2"/>
    <w:basedOn w:val="a"/>
    <w:next w:val="a"/>
    <w:autoRedefine/>
    <w:uiPriority w:val="39"/>
    <w:qFormat/>
    <w:rsid w:val="00490263"/>
    <w:pPr>
      <w:ind w:leftChars="200" w:left="420"/>
    </w:pPr>
  </w:style>
  <w:style w:type="paragraph" w:styleId="21">
    <w:name w:val="Body Text First Indent 2"/>
    <w:basedOn w:val="a6"/>
    <w:autoRedefine/>
    <w:semiHidden/>
    <w:qFormat/>
    <w:rsid w:val="00F47443"/>
    <w:pPr>
      <w:spacing w:line="560" w:lineRule="exact"/>
    </w:pPr>
    <w:rPr>
      <w:rFonts w:ascii="仿宋_GB2312" w:hAnsi="宋体" w:cs="宋体"/>
      <w:kern w:val="0"/>
      <w:sz w:val="32"/>
      <w:szCs w:val="32"/>
    </w:rPr>
  </w:style>
  <w:style w:type="table" w:styleId="ae">
    <w:name w:val="Table Grid"/>
    <w:basedOn w:val="a1"/>
    <w:autoRedefine/>
    <w:qFormat/>
    <w:rsid w:val="00490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qFormat/>
    <w:rsid w:val="00490263"/>
    <w:rPr>
      <w:color w:val="0563C1" w:themeColor="hyperlink"/>
      <w:u w:val="single"/>
    </w:rPr>
  </w:style>
  <w:style w:type="paragraph" w:customStyle="1" w:styleId="22">
    <w:name w:val="标题2"/>
    <w:autoRedefine/>
    <w:rsid w:val="00490263"/>
    <w:pPr>
      <w:widowControl w:val="0"/>
      <w:spacing w:beforeLines="100" w:afterLines="100"/>
      <w:jc w:val="center"/>
      <w:outlineLvl w:val="1"/>
    </w:pPr>
    <w:rPr>
      <w:rFonts w:ascii="黑体" w:eastAsia="黑体" w:hAnsi="黑体"/>
      <w:color w:val="000000"/>
      <w:kern w:val="2"/>
      <w:sz w:val="44"/>
      <w:szCs w:val="44"/>
    </w:rPr>
  </w:style>
  <w:style w:type="paragraph" w:customStyle="1" w:styleId="p0">
    <w:name w:val="p0"/>
    <w:basedOn w:val="a"/>
    <w:autoRedefine/>
    <w:qFormat/>
    <w:rsid w:val="00490263"/>
    <w:pPr>
      <w:widowControl/>
    </w:pPr>
    <w:rPr>
      <w:kern w:val="0"/>
      <w:szCs w:val="21"/>
    </w:rPr>
  </w:style>
  <w:style w:type="character" w:customStyle="1" w:styleId="ad">
    <w:name w:val="页眉 字符"/>
    <w:basedOn w:val="a0"/>
    <w:link w:val="ac"/>
    <w:uiPriority w:val="99"/>
    <w:rsid w:val="00490263"/>
    <w:rPr>
      <w:kern w:val="2"/>
      <w:sz w:val="18"/>
      <w:szCs w:val="18"/>
    </w:rPr>
  </w:style>
  <w:style w:type="character" w:customStyle="1" w:styleId="ab">
    <w:name w:val="页脚 字符"/>
    <w:basedOn w:val="a0"/>
    <w:link w:val="aa"/>
    <w:autoRedefine/>
    <w:uiPriority w:val="99"/>
    <w:qFormat/>
    <w:rsid w:val="00490263"/>
    <w:rPr>
      <w:kern w:val="2"/>
      <w:sz w:val="18"/>
      <w:szCs w:val="18"/>
    </w:rPr>
  </w:style>
  <w:style w:type="character" w:customStyle="1" w:styleId="a5">
    <w:name w:val="正文文本 字符"/>
    <w:basedOn w:val="a0"/>
    <w:link w:val="a4"/>
    <w:autoRedefine/>
    <w:qFormat/>
    <w:rsid w:val="00490263"/>
    <w:rPr>
      <w:kern w:val="2"/>
      <w:sz w:val="21"/>
      <w:szCs w:val="24"/>
    </w:rPr>
  </w:style>
  <w:style w:type="character" w:customStyle="1" w:styleId="10">
    <w:name w:val="标题 1 字符"/>
    <w:basedOn w:val="a0"/>
    <w:link w:val="1"/>
    <w:autoRedefine/>
    <w:uiPriority w:val="1"/>
    <w:qFormat/>
    <w:rsid w:val="00490263"/>
    <w:rPr>
      <w:rFonts w:ascii="宋体" w:hAnsi="宋体" w:cstheme="minorBidi"/>
      <w:b/>
      <w:bCs/>
      <w:sz w:val="30"/>
      <w:szCs w:val="30"/>
      <w:lang w:eastAsia="en-US"/>
    </w:rPr>
  </w:style>
  <w:style w:type="character" w:customStyle="1" w:styleId="20">
    <w:name w:val="标题 2 字符"/>
    <w:basedOn w:val="a0"/>
    <w:link w:val="2"/>
    <w:autoRedefine/>
    <w:uiPriority w:val="1"/>
    <w:qFormat/>
    <w:rsid w:val="00490263"/>
    <w:rPr>
      <w:rFonts w:ascii="宋体" w:hAnsi="宋体" w:cstheme="minorBidi"/>
      <w:b/>
      <w:bCs/>
      <w:sz w:val="24"/>
      <w:szCs w:val="24"/>
      <w:lang w:eastAsia="en-US"/>
    </w:rPr>
  </w:style>
  <w:style w:type="table" w:customStyle="1" w:styleId="TableNormal">
    <w:name w:val="Table Normal"/>
    <w:autoRedefine/>
    <w:uiPriority w:val="2"/>
    <w:semiHidden/>
    <w:unhideWhenUsed/>
    <w:qFormat/>
    <w:rsid w:val="00490263"/>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styleId="af0">
    <w:name w:val="List Paragraph"/>
    <w:basedOn w:val="a"/>
    <w:autoRedefine/>
    <w:uiPriority w:val="1"/>
    <w:qFormat/>
    <w:rsid w:val="00490263"/>
    <w:pPr>
      <w:jc w:val="left"/>
    </w:pPr>
    <w:rPr>
      <w:rFonts w:asciiTheme="minorHAnsi" w:eastAsiaTheme="minorEastAsia" w:hAnsiTheme="minorHAnsi" w:cstheme="minorBidi"/>
      <w:kern w:val="0"/>
      <w:sz w:val="22"/>
      <w:szCs w:val="22"/>
      <w:lang w:eastAsia="en-US"/>
    </w:rPr>
  </w:style>
  <w:style w:type="paragraph" w:customStyle="1" w:styleId="TableParagraph">
    <w:name w:val="Table Paragraph"/>
    <w:basedOn w:val="a"/>
    <w:autoRedefine/>
    <w:uiPriority w:val="1"/>
    <w:qFormat/>
    <w:rsid w:val="00490263"/>
    <w:pPr>
      <w:jc w:val="left"/>
    </w:pPr>
    <w:rPr>
      <w:rFonts w:asciiTheme="minorHAnsi" w:eastAsiaTheme="minorEastAsia" w:hAnsiTheme="minorHAnsi" w:cstheme="minorBidi"/>
      <w:kern w:val="0"/>
      <w:sz w:val="22"/>
      <w:szCs w:val="22"/>
      <w:lang w:eastAsia="en-US"/>
    </w:rPr>
  </w:style>
  <w:style w:type="paragraph" w:customStyle="1" w:styleId="TOC10">
    <w:name w:val="TOC 标题1"/>
    <w:basedOn w:val="1"/>
    <w:next w:val="a"/>
    <w:autoRedefine/>
    <w:uiPriority w:val="39"/>
    <w:unhideWhenUsed/>
    <w:qFormat/>
    <w:rsid w:val="00490263"/>
    <w:pPr>
      <w:keepNext/>
      <w:keepLines/>
      <w:widowControl/>
      <w:spacing w:before="480" w:line="276" w:lineRule="auto"/>
      <w:ind w:left="0"/>
      <w:outlineLvl w:val="9"/>
    </w:pPr>
    <w:rPr>
      <w:rFonts w:asciiTheme="majorHAnsi" w:eastAsiaTheme="majorEastAsia" w:hAnsiTheme="majorHAnsi" w:cstheme="majorBidi"/>
      <w:color w:val="2E74B5" w:themeColor="accent1" w:themeShade="BF"/>
      <w:sz w:val="28"/>
      <w:szCs w:val="28"/>
      <w:lang w:eastAsia="zh-CN"/>
    </w:rPr>
  </w:style>
  <w:style w:type="character" w:customStyle="1" w:styleId="a9">
    <w:name w:val="批注框文本 字符"/>
    <w:basedOn w:val="a0"/>
    <w:link w:val="a8"/>
    <w:qFormat/>
    <w:rsid w:val="00490263"/>
    <w:rPr>
      <w:kern w:val="2"/>
      <w:sz w:val="18"/>
      <w:szCs w:val="18"/>
    </w:rPr>
  </w:style>
  <w:style w:type="character" w:styleId="af1">
    <w:name w:val="annotation reference"/>
    <w:basedOn w:val="a0"/>
    <w:rsid w:val="00490263"/>
    <w:rPr>
      <w:sz w:val="21"/>
      <w:szCs w:val="21"/>
    </w:rPr>
  </w:style>
  <w:style w:type="paragraph" w:styleId="af2">
    <w:name w:val="Revision"/>
    <w:hidden/>
    <w:uiPriority w:val="99"/>
    <w:unhideWhenUsed/>
    <w:rsid w:val="008C73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Exts>
</s:customData>
</file>

<file path=customXml/itemProps1.xml><?xml version="1.0" encoding="utf-8"?>
<ds:datastoreItem xmlns:ds="http://schemas.openxmlformats.org/officeDocument/2006/customXml" ds:itemID="{A74F9CCD-6046-46EF-AE7B-BB7A24CB74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288</Words>
  <Characters>1646</Characters>
  <Application>Microsoft Office Word</Application>
  <DocSecurity>0</DocSecurity>
  <Lines>13</Lines>
  <Paragraphs>3</Paragraphs>
  <ScaleCrop>false</ScaleCrop>
  <Company>Microsoft</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鑫政元贺15324430612</dc:creator>
  <cp:lastModifiedBy>董华</cp:lastModifiedBy>
  <cp:revision>3</cp:revision>
  <cp:lastPrinted>2024-05-29T08:04:00Z</cp:lastPrinted>
  <dcterms:created xsi:type="dcterms:W3CDTF">2024-06-05T02:06:00Z</dcterms:created>
  <dcterms:modified xsi:type="dcterms:W3CDTF">2024-06-05T02:07:00Z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7BC4F2DD13824722A663A044901A262D_12</vt:lpwstr>
  </property>
</Properties>
</file>